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9E0F" w14:textId="77777777" w:rsidR="000F4B92" w:rsidRDefault="00000000">
      <w:pPr>
        <w:pStyle w:val="Citation"/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Rectors meeting 10 May with Commissioner Gabriel on higher education package </w:t>
      </w:r>
    </w:p>
    <w:p w14:paraId="43235CAC" w14:textId="77777777" w:rsidR="000F4B92" w:rsidRDefault="000F4B92">
      <w:pPr>
        <w:pStyle w:val="Citation"/>
        <w:jc w:val="center"/>
        <w:rPr>
          <w:b/>
          <w:sz w:val="36"/>
          <w:lang w:val="en-GB"/>
        </w:rPr>
      </w:pPr>
    </w:p>
    <w:p w14:paraId="3EA7074E" w14:textId="77777777" w:rsidR="000F4B92" w:rsidRDefault="00000000">
      <w:pPr>
        <w:spacing w:after="120"/>
        <w:jc w:val="both"/>
        <w:rPr>
          <w:rFonts w:ascii="ec square sans pro" w:hAnsi="ec square sans pro"/>
          <w:b/>
          <w:bCs/>
          <w:u w:val="single"/>
          <w:lang w:val="en-GB"/>
        </w:rPr>
      </w:pPr>
      <w:r>
        <w:rPr>
          <w:rFonts w:ascii="ec square sans pro" w:hAnsi="ec square sans pro"/>
          <w:b/>
          <w:bCs/>
          <w:u w:val="single"/>
          <w:lang w:val="en-GB"/>
        </w:rPr>
        <w:t>Roundtable with rectors of European Universities on the higher education package</w:t>
      </w:r>
    </w:p>
    <w:p w14:paraId="28D0067E" w14:textId="77777777" w:rsidR="000F4B92" w:rsidRDefault="00000000">
      <w:pPr>
        <w:spacing w:after="120"/>
        <w:jc w:val="both"/>
        <w:rPr>
          <w:rFonts w:ascii="ec square sans pro" w:hAnsi="ec square sans pro"/>
          <w:b/>
          <w:bCs/>
          <w:lang w:val="pt-PT"/>
        </w:rPr>
      </w:pPr>
      <w:r>
        <w:rPr>
          <w:rFonts w:ascii="ec square sans pro" w:hAnsi="ec square sans pro"/>
          <w:lang w:val="en-GB"/>
        </w:rPr>
        <w:t xml:space="preserve">As a follow-up to our save-the-date and invitation from February, we confirm the </w:t>
      </w:r>
      <w:r>
        <w:rPr>
          <w:rFonts w:ascii="ec square sans pro" w:hAnsi="ec square sans pro"/>
          <w:b/>
          <w:bCs/>
          <w:lang w:val="en-GB"/>
        </w:rPr>
        <w:t>online</w:t>
      </w:r>
      <w:r>
        <w:rPr>
          <w:rFonts w:ascii="ec square sans pro" w:hAnsi="ec square sans pro"/>
          <w:lang w:val="en-GB"/>
        </w:rPr>
        <w:t xml:space="preserve"> </w:t>
      </w:r>
      <w:r>
        <w:rPr>
          <w:rFonts w:ascii="ec square sans pro" w:hAnsi="ec square sans pro"/>
          <w:b/>
          <w:bCs/>
          <w:color w:val="000000"/>
          <w:lang w:val="en-US"/>
        </w:rPr>
        <w:t xml:space="preserve">Roundtable with rectors of European Universities on the </w:t>
      </w:r>
      <w:hyperlink r:id="rId8" w:tooltip="https://ec.europa.eu/commission/presscorner/detail/en/ip_22_365" w:history="1">
        <w:r>
          <w:rPr>
            <w:rStyle w:val="Lienhypertexte"/>
            <w:rFonts w:ascii="ec square sans pro" w:hAnsi="ec square sans pro"/>
            <w:b/>
            <w:bCs/>
            <w:lang w:val="en-US"/>
          </w:rPr>
          <w:t>higher education package</w:t>
        </w:r>
      </w:hyperlink>
      <w:r>
        <w:rPr>
          <w:rFonts w:ascii="ec square sans pro" w:hAnsi="ec square sans pro"/>
          <w:lang w:val="pt-PT"/>
        </w:rPr>
        <w:t xml:space="preserve">, in the presence of </w:t>
      </w:r>
      <w:r>
        <w:rPr>
          <w:rFonts w:ascii="ec square sans pro" w:hAnsi="ec square sans pro"/>
          <w:b/>
          <w:bCs/>
          <w:lang w:val="pt-PT"/>
        </w:rPr>
        <w:t>Commissioner Gabriel</w:t>
      </w:r>
      <w:r>
        <w:rPr>
          <w:rFonts w:ascii="ec square sans pro" w:hAnsi="ec square sans pro"/>
          <w:lang w:val="pt-PT"/>
        </w:rPr>
        <w:t xml:space="preserve">, on </w:t>
      </w:r>
      <w:r>
        <w:rPr>
          <w:rFonts w:ascii="ec square sans pro" w:hAnsi="ec square sans pro"/>
          <w:b/>
          <w:bCs/>
          <w:lang w:val="pt-PT"/>
        </w:rPr>
        <w:t>10 May</w:t>
      </w:r>
      <w:r>
        <w:rPr>
          <w:rFonts w:ascii="ec square sans pro" w:hAnsi="ec square sans pro"/>
          <w:lang w:val="pt-PT"/>
        </w:rPr>
        <w:t xml:space="preserve"> </w:t>
      </w:r>
      <w:r>
        <w:rPr>
          <w:rFonts w:ascii="ec square sans pro" w:hAnsi="ec square sans pro"/>
          <w:b/>
          <w:bCs/>
          <w:lang w:val="pt-PT"/>
        </w:rPr>
        <w:t>2022 from 09.30 to 11.00 am</w:t>
      </w:r>
      <w:r>
        <w:rPr>
          <w:rFonts w:ascii="ec square sans pro" w:hAnsi="ec square sans pro"/>
          <w:lang w:val="pt-PT"/>
        </w:rPr>
        <w:t>.</w:t>
      </w:r>
      <w:r>
        <w:rPr>
          <w:rFonts w:ascii="ec square sans pro" w:hAnsi="ec square sans pro"/>
          <w:b/>
          <w:bCs/>
          <w:lang w:val="pt-PT"/>
        </w:rPr>
        <w:t xml:space="preserve"> </w:t>
      </w:r>
    </w:p>
    <w:p w14:paraId="4F95CA5E" w14:textId="77777777" w:rsidR="000F4B92" w:rsidRDefault="00000000">
      <w:pPr>
        <w:spacing w:after="120"/>
        <w:jc w:val="both"/>
        <w:rPr>
          <w:rFonts w:ascii="ec square sans pro" w:hAnsi="ec square sans pro"/>
          <w:lang w:val="en-GB"/>
        </w:rPr>
      </w:pPr>
      <w:r>
        <w:rPr>
          <w:rFonts w:ascii="ec square sans pro" w:hAnsi="ec square sans pro"/>
          <w:lang w:val="en-GB"/>
        </w:rPr>
        <w:t>As per usual practice, one rector per European University is invited to join</w:t>
      </w:r>
      <w:proofErr w:type="gramStart"/>
      <w:r>
        <w:rPr>
          <w:rFonts w:ascii="ec square sans pro" w:hAnsi="ec square sans pro"/>
          <w:lang w:val="en-GB"/>
        </w:rPr>
        <w:t>.</w:t>
      </w:r>
      <w:r>
        <w:rPr>
          <w:lang w:val="en-GB"/>
        </w:rPr>
        <w:t> </w:t>
      </w:r>
      <w:r>
        <w:rPr>
          <w:rFonts w:ascii="ec square sans pro" w:hAnsi="ec square sans pro"/>
          <w:lang w:val="en-GB"/>
        </w:rPr>
        <w:t xml:space="preserve"> </w:t>
      </w:r>
      <w:proofErr w:type="gramEnd"/>
      <w:r>
        <w:rPr>
          <w:rFonts w:ascii="ec square sans pro" w:hAnsi="ec square sans pro"/>
          <w:lang w:val="en-GB"/>
        </w:rPr>
        <w:t xml:space="preserve">You may find enclosed the agenda and connection details, as well as </w:t>
      </w:r>
      <w:proofErr w:type="gramStart"/>
      <w:r>
        <w:rPr>
          <w:rFonts w:ascii="ec square sans pro" w:hAnsi="ec square sans pro"/>
          <w:lang w:val="pt-PT"/>
        </w:rPr>
        <w:t>some</w:t>
      </w:r>
      <w:proofErr w:type="gramEnd"/>
      <w:r>
        <w:rPr>
          <w:rFonts w:ascii="ec square sans pro" w:hAnsi="ec square sans pro"/>
          <w:lang w:val="pt-PT"/>
        </w:rPr>
        <w:t xml:space="preserve"> </w:t>
      </w:r>
      <w:r>
        <w:rPr>
          <w:rFonts w:ascii="ec square sans pro" w:hAnsi="ec square sans pro"/>
          <w:b/>
          <w:bCs/>
          <w:lang w:val="pt-PT"/>
        </w:rPr>
        <w:t>background information</w:t>
      </w:r>
      <w:r>
        <w:rPr>
          <w:rFonts w:ascii="ec square sans pro" w:hAnsi="ec square sans pro"/>
          <w:lang w:val="pt-PT"/>
        </w:rPr>
        <w:t xml:space="preserve">, including </w:t>
      </w:r>
      <w:r>
        <w:rPr>
          <w:rFonts w:ascii="ec square sans pro" w:hAnsi="ec square sans pro"/>
          <w:b/>
          <w:bCs/>
          <w:lang w:val="pt-PT"/>
        </w:rPr>
        <w:t xml:space="preserve">guiding questions </w:t>
      </w:r>
      <w:r>
        <w:rPr>
          <w:rFonts w:ascii="ec square sans pro" w:hAnsi="ec square sans pro"/>
          <w:lang w:val="pt-PT"/>
        </w:rPr>
        <w:t xml:space="preserve">for the discussion. </w:t>
      </w:r>
    </w:p>
    <w:p w14:paraId="408153A3" w14:textId="77777777" w:rsidR="000F4B92" w:rsidRDefault="00000000">
      <w:pPr>
        <w:spacing w:after="120"/>
        <w:jc w:val="both"/>
        <w:rPr>
          <w:rFonts w:ascii="ec square sans pro" w:hAnsi="ec square sans pro"/>
          <w:lang w:val="pt-PT"/>
        </w:rPr>
      </w:pPr>
      <w:r>
        <w:rPr>
          <w:rFonts w:ascii="ec square sans pro" w:hAnsi="ec square sans pro"/>
          <w:lang w:val="pt-PT"/>
        </w:rPr>
        <w:t>A</w:t>
      </w:r>
      <w:r>
        <w:rPr>
          <w:rFonts w:ascii="ec square sans pro" w:hAnsi="ec square sans pro"/>
          <w:b/>
          <w:bCs/>
          <w:lang w:val="pt-PT"/>
        </w:rPr>
        <w:t xml:space="preserve"> rector per European University</w:t>
      </w:r>
      <w:r>
        <w:rPr>
          <w:rFonts w:ascii="ec square sans pro" w:hAnsi="ec square sans pro"/>
          <w:lang w:val="pt-PT"/>
        </w:rPr>
        <w:t xml:space="preserve"> will represent the alliance as a whole. 20 out of the 41 rectors/presidents will </w:t>
      </w:r>
      <w:r>
        <w:rPr>
          <w:rFonts w:ascii="ec square sans pro" w:hAnsi="ec square sans pro"/>
          <w:b/>
          <w:bCs/>
          <w:lang w:val="pt-PT"/>
        </w:rPr>
        <w:t>intervene and take the floor</w:t>
      </w:r>
      <w:r>
        <w:rPr>
          <w:rFonts w:ascii="ec square sans pro" w:hAnsi="ec square sans pro"/>
          <w:lang w:val="pt-PT"/>
        </w:rPr>
        <w:t xml:space="preserve"> for a maximum 3 minutes intervention. You will receive from the EC the proposed distribution of the speaking slots, taking into account geographical balance and gender considerations. </w:t>
      </w:r>
    </w:p>
    <w:p w14:paraId="3C7265BD" w14:textId="77777777" w:rsidR="000F4B92" w:rsidRDefault="00000000">
      <w:pPr>
        <w:spacing w:after="120"/>
        <w:jc w:val="both"/>
        <w:rPr>
          <w:rFonts w:ascii="ec square sans pro" w:hAnsi="ec square sans pro"/>
          <w:lang w:val="pt-PT"/>
        </w:rPr>
      </w:pPr>
      <w:r>
        <w:rPr>
          <w:rFonts w:ascii="ec square sans pro" w:hAnsi="ec square sans pro"/>
          <w:lang w:val="pt-PT"/>
        </w:rPr>
        <w:t>To facilitate information sharing, also 2 representatives from the coordinators of the European Universities alliances will join : representatives of FOR-EU1 and FOR-EU 2 networks.</w:t>
      </w:r>
    </w:p>
    <w:p w14:paraId="0BB5CF1E" w14:textId="77777777" w:rsidR="000F4B92" w:rsidRDefault="000F4B92">
      <w:pPr>
        <w:rPr>
          <w:lang w:val="pt-PT"/>
        </w:rPr>
      </w:pPr>
    </w:p>
    <w:p w14:paraId="58D76200" w14:textId="77777777" w:rsidR="000F4B92" w:rsidRDefault="000F4B92">
      <w:pPr>
        <w:pStyle w:val="Citation"/>
        <w:jc w:val="center"/>
        <w:rPr>
          <w:b/>
          <w:sz w:val="36"/>
          <w:lang w:val="en-GB"/>
        </w:rPr>
      </w:pPr>
    </w:p>
    <w:p w14:paraId="59D78B5E" w14:textId="77777777" w:rsidR="000F4B92" w:rsidRDefault="000F4B92">
      <w:pPr>
        <w:pStyle w:val="Citation"/>
        <w:jc w:val="center"/>
        <w:rPr>
          <w:b/>
          <w:lang w:val="en-GB"/>
        </w:rPr>
      </w:pPr>
    </w:p>
    <w:p w14:paraId="3D0A682B" w14:textId="487EF0DB" w:rsidR="000F4B92" w:rsidRDefault="00000000">
      <w:pPr>
        <w:pStyle w:val="Titre7"/>
        <w:rPr>
          <w:lang w:val="en-GB"/>
        </w:rPr>
      </w:pPr>
      <w:r>
        <w:rPr>
          <w:lang w:val="en-GB"/>
        </w:rPr>
        <w:t>Bio Commissioner Gabriel</w:t>
      </w:r>
    </w:p>
    <w:p w14:paraId="534B1D5A" w14:textId="77777777" w:rsidR="000F4B92" w:rsidRDefault="00000000">
      <w:pPr>
        <w:rPr>
          <w:lang w:val="en-GB"/>
        </w:rPr>
      </w:pPr>
      <w:r>
        <w:rPr>
          <w:noProof/>
        </w:rPr>
        <mc:AlternateContent>
          <mc:Choice Requires="wpg">
            <w:drawing>
              <wp:inline distT="0" distB="0" distL="0" distR="0" wp14:anchorId="0A99B41E" wp14:editId="459FA4EA">
                <wp:extent cx="942975" cy="942975"/>
                <wp:effectExtent l="0" t="0" r="9525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74.2pt;height:74.2pt;" stroked="false">
                <v:path textboxrect="0,0,0,0"/>
                <v:imagedata r:id="rId19" o:title=""/>
              </v:shape>
            </w:pict>
          </mc:Fallback>
        </mc:AlternateContent>
      </w:r>
    </w:p>
    <w:p w14:paraId="03B1D679" w14:textId="77777777" w:rsidR="000F4B92" w:rsidRDefault="00000000">
      <w:pPr>
        <w:pStyle w:val="Sansinterligne"/>
        <w:rPr>
          <w:lang w:val="en-GB"/>
        </w:rPr>
      </w:pPr>
      <w:proofErr w:type="spellStart"/>
      <w:r>
        <w:rPr>
          <w:bCs/>
          <w:lang w:val="en-GB"/>
        </w:rPr>
        <w:t>Mariya</w:t>
      </w:r>
      <w:proofErr w:type="spellEnd"/>
      <w:r>
        <w:rPr>
          <w:bCs/>
          <w:lang w:val="en-GB"/>
        </w:rPr>
        <w:t xml:space="preserve"> Ivanova </w:t>
      </w:r>
      <w:proofErr w:type="spellStart"/>
      <w:r>
        <w:rPr>
          <w:bCs/>
          <w:lang w:val="en-GB"/>
        </w:rPr>
        <w:t>Gabrie</w:t>
      </w:r>
      <w:proofErr w:type="spellEnd"/>
      <w:r>
        <w:rPr>
          <w:bCs/>
          <w:lang w:val="en-GB"/>
        </w:rPr>
        <w:t xml:space="preserve"> </w:t>
      </w:r>
      <w:r>
        <w:rPr>
          <w:lang w:val="en-GB"/>
        </w:rPr>
        <w:t xml:space="preserve">is a Bulgarian politician and a member of the </w:t>
      </w:r>
      <w:hyperlink r:id="rId20" w:tooltip="GERB" w:history="1">
        <w:r>
          <w:rPr>
            <w:rStyle w:val="Lienhypertexte"/>
            <w:lang w:val="en-GB"/>
          </w:rPr>
          <w:t>GERB</w:t>
        </w:r>
      </w:hyperlink>
      <w:r>
        <w:rPr>
          <w:lang w:val="en-GB"/>
        </w:rPr>
        <w:t xml:space="preserve"> party serving as </w:t>
      </w:r>
      <w:hyperlink r:id="rId21" w:tooltip="European Commissioner for Innovation, Research, Culture, Education and Youth" w:history="1">
        <w:r>
          <w:rPr>
            <w:rStyle w:val="Lienhypertexte"/>
            <w:lang w:val="en-GB"/>
          </w:rPr>
          <w:t>European Commissioner for Innovation, Research, Culture, Education and Youth</w:t>
        </w:r>
      </w:hyperlink>
      <w:r>
        <w:rPr>
          <w:lang w:val="en-GB"/>
        </w:rPr>
        <w:t xml:space="preserve"> since 2019. She served as </w:t>
      </w:r>
      <w:hyperlink r:id="rId22" w:tooltip="Member of the European Parliament" w:history="1">
        <w:r>
          <w:rPr>
            <w:rStyle w:val="Lienhypertexte"/>
            <w:lang w:val="en-GB"/>
          </w:rPr>
          <w:t>Member of the European Parliament</w:t>
        </w:r>
      </w:hyperlink>
      <w:r>
        <w:rPr>
          <w:lang w:val="en-GB"/>
        </w:rPr>
        <w:t xml:space="preserve"> (MEP) from 2009 to 2017. </w:t>
      </w:r>
    </w:p>
    <w:p w14:paraId="587D8C17" w14:textId="48EAD2A1" w:rsidR="000F4B92" w:rsidRDefault="009E570A">
      <w:pPr>
        <w:pStyle w:val="Sansinterligne"/>
        <w:rPr>
          <w:lang w:val="en-GB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45A205" wp14:editId="4E9508CC">
            <wp:simplePos x="0" y="0"/>
            <wp:positionH relativeFrom="margin">
              <wp:posOffset>39370</wp:posOffset>
            </wp:positionH>
            <wp:positionV relativeFrom="margin">
              <wp:posOffset>7350125</wp:posOffset>
            </wp:positionV>
            <wp:extent cx="5676265" cy="1179830"/>
            <wp:effectExtent l="0" t="0" r="0" b="127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17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n-GB"/>
        </w:rPr>
        <w:t xml:space="preserve">In the </w:t>
      </w:r>
      <w:hyperlink r:id="rId24" w:tooltip="European Parliament" w:history="1">
        <w:r>
          <w:rPr>
            <w:rStyle w:val="Lienhypertexte"/>
            <w:lang w:val="en-GB"/>
          </w:rPr>
          <w:t>European Parliament</w:t>
        </w:r>
      </w:hyperlink>
      <w:r>
        <w:rPr>
          <w:lang w:val="en-GB"/>
        </w:rPr>
        <w:t xml:space="preserve"> she served as Vice-President of the </w:t>
      </w:r>
      <w:hyperlink r:id="rId25" w:tooltip="European People’s Party" w:history="1">
        <w:r>
          <w:rPr>
            <w:rStyle w:val="Lienhypertexte"/>
            <w:lang w:val="en-GB"/>
          </w:rPr>
          <w:t>European People’s Party</w:t>
        </w:r>
      </w:hyperlink>
      <w:r>
        <w:rPr>
          <w:lang w:val="en-GB"/>
        </w:rPr>
        <w:t xml:space="preserve"> (EPP) group, Vice-President of EPP Women and head of the Bulgarian EPP delegation. She was first appointed to the </w:t>
      </w:r>
      <w:hyperlink r:id="rId26" w:tooltip="European Commission" w:history="1">
        <w:r>
          <w:rPr>
            <w:rStyle w:val="Lienhypertexte"/>
            <w:lang w:val="en-GB"/>
          </w:rPr>
          <w:t>European Commission</w:t>
        </w:r>
      </w:hyperlink>
      <w:r>
        <w:rPr>
          <w:lang w:val="en-GB"/>
        </w:rPr>
        <w:t xml:space="preserve"> in 2017 as </w:t>
      </w:r>
      <w:hyperlink r:id="rId27" w:tooltip="European Commissioner for Digital Economy and Society" w:history="1">
        <w:r>
          <w:rPr>
            <w:rStyle w:val="Lienhypertexte"/>
            <w:lang w:val="en-GB"/>
          </w:rPr>
          <w:t>European Commissioner for Digital Economy and Society</w:t>
        </w:r>
      </w:hyperlink>
      <w:r>
        <w:rPr>
          <w:lang w:val="en-GB"/>
        </w:rPr>
        <w:t xml:space="preserve"> to fill a spot left vacant by the departure of </w:t>
      </w:r>
      <w:hyperlink r:id="rId28" w:tooltip="Kristalina Georgieva" w:history="1">
        <w:r>
          <w:rPr>
            <w:rStyle w:val="Lienhypertexte"/>
            <w:lang w:val="en-GB"/>
          </w:rPr>
          <w:t>Kristalina Georgieva</w:t>
        </w:r>
      </w:hyperlink>
      <w:r>
        <w:rPr>
          <w:lang w:val="en-GB"/>
        </w:rPr>
        <w:t xml:space="preserve">. </w:t>
      </w:r>
    </w:p>
    <w:p w14:paraId="637427AB" w14:textId="77777777" w:rsidR="000F4B92" w:rsidRDefault="00000000">
      <w:pPr>
        <w:pStyle w:val="Titre2"/>
        <w:rPr>
          <w:sz w:val="32"/>
          <w:lang w:val="en-GB"/>
        </w:rPr>
      </w:pPr>
      <w:r>
        <w:rPr>
          <w:sz w:val="32"/>
          <w:lang w:val="en-GB"/>
        </w:rPr>
        <w:lastRenderedPageBreak/>
        <w:t xml:space="preserve">Responsibilities </w:t>
      </w:r>
      <w:r>
        <w:rPr>
          <w:rStyle w:val="header-line-3"/>
          <w:sz w:val="32"/>
          <w:lang w:val="en-GB"/>
        </w:rPr>
        <w:t>Innovation, Research, Culture, Education and Youth</w:t>
      </w:r>
    </w:p>
    <w:p w14:paraId="7A22B8BD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Ensuring swift agreement on, and full implementation of, the </w:t>
      </w:r>
      <w:r>
        <w:rPr>
          <w:rStyle w:val="lev"/>
          <w:lang w:val="en-GB"/>
        </w:rPr>
        <w:t>future Horizon Europe programme</w:t>
      </w:r>
      <w:r>
        <w:rPr>
          <w:lang w:val="en-GB"/>
        </w:rPr>
        <w:t>.</w:t>
      </w:r>
    </w:p>
    <w:p w14:paraId="211620E6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Ensuring </w:t>
      </w:r>
      <w:r>
        <w:rPr>
          <w:rStyle w:val="lev"/>
          <w:lang w:val="en-GB"/>
        </w:rPr>
        <w:t>investment flows for disruptive research and breakthrough innovations</w:t>
      </w:r>
      <w:r>
        <w:rPr>
          <w:lang w:val="en-GB"/>
        </w:rPr>
        <w:t>, including through the European Innovation Council.</w:t>
      </w:r>
    </w:p>
    <w:p w14:paraId="68F8E34E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Developing the </w:t>
      </w:r>
      <w:r>
        <w:rPr>
          <w:rStyle w:val="lev"/>
          <w:lang w:val="en-GB"/>
        </w:rPr>
        <w:t>European Research Area</w:t>
      </w:r>
      <w:r>
        <w:rPr>
          <w:lang w:val="en-GB"/>
        </w:rPr>
        <w:t xml:space="preserve"> in cooperation with Member States.</w:t>
      </w:r>
    </w:p>
    <w:p w14:paraId="2F3519AE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Ensuring integration between </w:t>
      </w:r>
      <w:r>
        <w:rPr>
          <w:rStyle w:val="lev"/>
          <w:lang w:val="en-GB"/>
        </w:rPr>
        <w:t xml:space="preserve">research </w:t>
      </w:r>
      <w:r>
        <w:rPr>
          <w:lang w:val="en-GB"/>
        </w:rPr>
        <w:t xml:space="preserve">and </w:t>
      </w:r>
      <w:r>
        <w:rPr>
          <w:rStyle w:val="lev"/>
          <w:lang w:val="en-GB"/>
        </w:rPr>
        <w:t xml:space="preserve">economic </w:t>
      </w:r>
      <w:r>
        <w:rPr>
          <w:lang w:val="en-GB"/>
        </w:rPr>
        <w:t>priorities.</w:t>
      </w:r>
    </w:p>
    <w:p w14:paraId="2326E2BB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Leading the Commission’s work on a </w:t>
      </w:r>
      <w:r>
        <w:rPr>
          <w:rStyle w:val="lev"/>
          <w:lang w:val="en-GB"/>
        </w:rPr>
        <w:t>European Education Area</w:t>
      </w:r>
      <w:r>
        <w:rPr>
          <w:lang w:val="en-GB"/>
        </w:rPr>
        <w:t xml:space="preserve"> by 2025.</w:t>
      </w:r>
    </w:p>
    <w:p w14:paraId="25D4F474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proofErr w:type="gramStart"/>
      <w:r>
        <w:rPr>
          <w:lang w:val="en-GB"/>
        </w:rPr>
        <w:t xml:space="preserve">Promoting excellence and networking among European </w:t>
      </w:r>
      <w:r>
        <w:rPr>
          <w:rStyle w:val="lev"/>
          <w:lang w:val="en-GB"/>
        </w:rPr>
        <w:t>universities</w:t>
      </w:r>
      <w:proofErr w:type="gramEnd"/>
      <w:r>
        <w:rPr>
          <w:rStyle w:val="lev"/>
          <w:lang w:val="en-GB"/>
        </w:rPr>
        <w:t xml:space="preserve"> </w:t>
      </w:r>
      <w:r>
        <w:rPr>
          <w:lang w:val="en-GB"/>
        </w:rPr>
        <w:t xml:space="preserve">and implementing the </w:t>
      </w:r>
      <w:r>
        <w:rPr>
          <w:rStyle w:val="lev"/>
          <w:lang w:val="en-GB"/>
        </w:rPr>
        <w:t>European University Initiative</w:t>
      </w:r>
      <w:r>
        <w:rPr>
          <w:lang w:val="en-GB"/>
        </w:rPr>
        <w:t>.</w:t>
      </w:r>
    </w:p>
    <w:p w14:paraId="75B2DBC8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Updating the </w:t>
      </w:r>
      <w:r>
        <w:rPr>
          <w:rStyle w:val="lev"/>
          <w:lang w:val="en-GB"/>
        </w:rPr>
        <w:t>Digital Education Action Plan</w:t>
      </w:r>
      <w:r>
        <w:rPr>
          <w:lang w:val="en-GB"/>
        </w:rPr>
        <w:t xml:space="preserve"> and raising awareness of </w:t>
      </w:r>
      <w:r>
        <w:rPr>
          <w:rStyle w:val="lev"/>
          <w:lang w:val="en-GB"/>
        </w:rPr>
        <w:t xml:space="preserve">disinformation </w:t>
      </w:r>
      <w:r>
        <w:rPr>
          <w:lang w:val="en-GB"/>
        </w:rPr>
        <w:t xml:space="preserve">and other </w:t>
      </w:r>
      <w:r>
        <w:rPr>
          <w:rStyle w:val="lev"/>
          <w:lang w:val="en-GB"/>
        </w:rPr>
        <w:t>online threats</w:t>
      </w:r>
      <w:r>
        <w:rPr>
          <w:lang w:val="en-GB"/>
        </w:rPr>
        <w:t>. </w:t>
      </w:r>
    </w:p>
    <w:p w14:paraId="69A67918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Ensuring full implementation of the </w:t>
      </w:r>
      <w:r>
        <w:rPr>
          <w:rStyle w:val="lev"/>
          <w:lang w:val="en-GB"/>
        </w:rPr>
        <w:t>New European Agenda for Culture</w:t>
      </w:r>
      <w:r>
        <w:rPr>
          <w:lang w:val="en-GB"/>
        </w:rPr>
        <w:t xml:space="preserve">, promoting creative </w:t>
      </w:r>
      <w:proofErr w:type="gramStart"/>
      <w:r>
        <w:rPr>
          <w:lang w:val="en-GB"/>
        </w:rPr>
        <w:t>industries</w:t>
      </w:r>
      <w:proofErr w:type="gramEnd"/>
      <w:r>
        <w:rPr>
          <w:lang w:val="en-GB"/>
        </w:rPr>
        <w:t xml:space="preserve"> and promoting the </w:t>
      </w:r>
      <w:r>
        <w:rPr>
          <w:rStyle w:val="lev"/>
          <w:lang w:val="en-GB"/>
        </w:rPr>
        <w:t>Creative Europe Programme</w:t>
      </w:r>
      <w:r>
        <w:rPr>
          <w:lang w:val="en-GB"/>
        </w:rPr>
        <w:t>.</w:t>
      </w:r>
    </w:p>
    <w:p w14:paraId="32808E39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Promoting </w:t>
      </w:r>
      <w:r>
        <w:rPr>
          <w:rStyle w:val="lev"/>
          <w:lang w:val="en-GB"/>
        </w:rPr>
        <w:t xml:space="preserve">sport </w:t>
      </w:r>
      <w:r>
        <w:rPr>
          <w:lang w:val="en-GB"/>
        </w:rPr>
        <w:t xml:space="preserve">for inclusion and well-being, expanding the </w:t>
      </w:r>
      <w:r>
        <w:rPr>
          <w:rStyle w:val="lev"/>
          <w:lang w:val="en-GB"/>
        </w:rPr>
        <w:t>#BeInclusive EU Sports Awards</w:t>
      </w:r>
      <w:r>
        <w:rPr>
          <w:lang w:val="en-GB"/>
        </w:rPr>
        <w:t xml:space="preserve"> and the </w:t>
      </w:r>
      <w:r>
        <w:rPr>
          <w:rStyle w:val="lev"/>
          <w:lang w:val="en-GB"/>
        </w:rPr>
        <w:t>European Week of Sport</w:t>
      </w:r>
      <w:r>
        <w:rPr>
          <w:lang w:val="en-GB"/>
        </w:rPr>
        <w:t>.</w:t>
      </w:r>
    </w:p>
    <w:p w14:paraId="08DCE7E5" w14:textId="77777777" w:rsidR="000F4B92" w:rsidRDefault="00000000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Strengthening international cooperation in </w:t>
      </w:r>
      <w:r>
        <w:rPr>
          <w:rStyle w:val="lev"/>
          <w:lang w:val="en-GB"/>
        </w:rPr>
        <w:t xml:space="preserve">education, research, </w:t>
      </w:r>
      <w:proofErr w:type="gramStart"/>
      <w:r>
        <w:rPr>
          <w:rStyle w:val="lev"/>
          <w:lang w:val="en-GB"/>
        </w:rPr>
        <w:t>innovation</w:t>
      </w:r>
      <w:proofErr w:type="gramEnd"/>
      <w:r>
        <w:rPr>
          <w:rStyle w:val="lev"/>
          <w:lang w:val="en-GB"/>
        </w:rPr>
        <w:t xml:space="preserve"> and culture</w:t>
      </w:r>
      <w:r>
        <w:rPr>
          <w:lang w:val="en-GB"/>
        </w:rPr>
        <w:t>.</w:t>
      </w:r>
    </w:p>
    <w:p w14:paraId="1DB8DEBC" w14:textId="77777777" w:rsidR="000F4B92" w:rsidRDefault="000F4B92">
      <w:pPr>
        <w:rPr>
          <w:lang w:val="en-GB"/>
        </w:rPr>
      </w:pPr>
    </w:p>
    <w:sectPr w:rsidR="000F4B9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417" w:right="1417" w:bottom="1417" w:left="1417" w:header="283" w:footer="283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5842" w14:textId="77777777" w:rsidR="00AD0B3D" w:rsidRDefault="00AD0B3D">
      <w:r>
        <w:separator/>
      </w:r>
    </w:p>
  </w:endnote>
  <w:endnote w:type="continuationSeparator" w:id="0">
    <w:p w14:paraId="57B905A6" w14:textId="77777777" w:rsidR="00AD0B3D" w:rsidRDefault="00A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45A8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DDB" w14:textId="77777777" w:rsidR="000F4B92" w:rsidRDefault="000F4B92">
    <w:pPr>
      <w:tabs>
        <w:tab w:val="center" w:pos="4536"/>
        <w:tab w:val="right" w:pos="9072"/>
      </w:tabs>
      <w:spacing w:line="480" w:lineRule="auto"/>
      <w:jc w:val="center"/>
      <w:rPr>
        <w:b/>
      </w:rPr>
    </w:pPr>
    <w:bookmarkStart w:id="0" w:name="_gjdgxs"/>
    <w:bookmarkEnd w:id="0"/>
  </w:p>
  <w:p w14:paraId="07DBD26A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</w:pPr>
    <w:bookmarkStart w:id="1" w:name="_49wj9lgeybhi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01FA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30F" w14:textId="77777777" w:rsidR="00AD0B3D" w:rsidRDefault="00AD0B3D">
      <w:r>
        <w:separator/>
      </w:r>
    </w:p>
  </w:footnote>
  <w:footnote w:type="continuationSeparator" w:id="0">
    <w:p w14:paraId="7F3C3BA8" w14:textId="77777777" w:rsidR="00AD0B3D" w:rsidRDefault="00AD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961C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66C4" w14:textId="77777777" w:rsidR="000F4B92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2E061465" wp14:editId="42B07A0B">
          <wp:simplePos x="0" y="0"/>
          <wp:positionH relativeFrom="column">
            <wp:posOffset>-899160</wp:posOffset>
          </wp:positionH>
          <wp:positionV relativeFrom="paragraph">
            <wp:posOffset>-57785</wp:posOffset>
          </wp:positionV>
          <wp:extent cx="7597775" cy="1559560"/>
          <wp:effectExtent l="0" t="0" r="3175" b="254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55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6883" w14:textId="77777777" w:rsidR="000F4B92" w:rsidRDefault="000F4B9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081"/>
    <w:multiLevelType w:val="hybridMultilevel"/>
    <w:tmpl w:val="A50C411A"/>
    <w:lvl w:ilvl="0" w:tplc="F1C48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76D9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61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A61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1259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24D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04D9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4E1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1A7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9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92"/>
    <w:rsid w:val="000F4B92"/>
    <w:rsid w:val="006D0C8E"/>
    <w:rsid w:val="008962C0"/>
    <w:rsid w:val="009E570A"/>
    <w:rsid w:val="00AA611F"/>
    <w:rsid w:val="00AD0B3D"/>
    <w:rsid w:val="00DF49D6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AED2"/>
  <w15:docId w15:val="{1F1CEAB7-22B3-411D-B50F-41AB39C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header-line-3">
    <w:name w:val="header-line-3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365" TargetMode="External"/><Relationship Id="rId26" Type="http://schemas.openxmlformats.org/officeDocument/2006/relationships/hyperlink" Target="https://en.wikipedia.org/wiki/European_Commiss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uropean_Commissioner_for_Innovation,_Research,_Culture,_Education_and_Youth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25" Type="http://schemas.openxmlformats.org/officeDocument/2006/relationships/hyperlink" Target="https://en.wikipedia.org/wiki/European_People%E2%80%99s_Party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hyperlink" Target="https://en.wikipedia.org/wiki/GERB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en.wikipedia.org/wiki/European_Parliamen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28" Type="http://schemas.openxmlformats.org/officeDocument/2006/relationships/hyperlink" Target="https://en.wikipedia.org/wiki/Kristalina_Georgieva" TargetMode="External"/><Relationship Id="rId36" Type="http://schemas.openxmlformats.org/officeDocument/2006/relationships/theme" Target="theme/theme1.xml"/><Relationship Id="rId19" Type="http://schemas.openxmlformats.org/officeDocument/2006/relationships/image" Target="media/image3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hyperlink" Target="https://en.wikipedia.org/wiki/Member_of_the_European_Parliament" TargetMode="External"/><Relationship Id="rId27" Type="http://schemas.openxmlformats.org/officeDocument/2006/relationships/hyperlink" Target="https://en.wikipedia.org/wiki/European_Commissioner_for_Digital_Economy_and_Society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3347</Characters>
  <Application>Microsoft Office Word</Application>
  <DocSecurity>0</DocSecurity>
  <Lines>185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Sadzot Jeanne</cp:lastModifiedBy>
  <cp:revision>7</cp:revision>
  <dcterms:created xsi:type="dcterms:W3CDTF">2022-05-09T06:45:00Z</dcterms:created>
  <dcterms:modified xsi:type="dcterms:W3CDTF">2022-12-09T09:07:00Z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7f0d91a98c5c8779b02b0339d0639623a08d0d107357590a682c8bfadc1c8798</vt:lpwstr>
  </property>
</Properties>
</file>