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C767" w14:textId="77777777" w:rsidR="000F600C" w:rsidRDefault="000F600C" w:rsidP="000F600C">
      <w:r w:rsidRPr="00EA1A8E">
        <w:rPr>
          <w:rFonts w:ascii="Roboto" w:eastAsia="Open Sans" w:hAnsi="Roboto" w:cs="Roboto"/>
          <w:noProof/>
          <w:color w:val="000000"/>
          <w:sz w:val="22"/>
          <w:szCs w:val="22"/>
          <w:lang w:val="cy" w:eastAsia="en-GB"/>
        </w:rPr>
        <w:drawing>
          <wp:anchor distT="114300" distB="114300" distL="114300" distR="114300" simplePos="0" relativeHeight="251659264" behindDoc="1" locked="0" layoutInCell="1" hidden="0" allowOverlap="1" wp14:anchorId="79277A8E" wp14:editId="7A95845B">
            <wp:simplePos x="0" y="0"/>
            <wp:positionH relativeFrom="column">
              <wp:posOffset>1876315</wp:posOffset>
            </wp:positionH>
            <wp:positionV relativeFrom="paragraph">
              <wp:posOffset>-621224</wp:posOffset>
            </wp:positionV>
            <wp:extent cx="2059388" cy="1915795"/>
            <wp:effectExtent l="0" t="0" r="0" b="8255"/>
            <wp:wrapNone/>
            <wp:docPr id="1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5"/>
                    <a:srcRect/>
                    <a:stretch>
                      <a:fillRect/>
                    </a:stretch>
                  </pic:blipFill>
                  <pic:spPr>
                    <a:xfrm>
                      <a:off x="0" y="0"/>
                      <a:ext cx="2059388" cy="1915795"/>
                    </a:xfrm>
                    <a:prstGeom prst="rect">
                      <a:avLst/>
                    </a:prstGeom>
                    <a:ln/>
                  </pic:spPr>
                </pic:pic>
              </a:graphicData>
            </a:graphic>
            <wp14:sizeRelH relativeFrom="margin">
              <wp14:pctWidth>0</wp14:pctWidth>
            </wp14:sizeRelH>
            <wp14:sizeRelV relativeFrom="margin">
              <wp14:pctHeight>0</wp14:pctHeight>
            </wp14:sizeRelV>
          </wp:anchor>
        </w:drawing>
      </w:r>
    </w:p>
    <w:p w14:paraId="78126F77" w14:textId="77777777" w:rsidR="000F600C" w:rsidRDefault="000F600C" w:rsidP="000F600C"/>
    <w:p w14:paraId="764B1925" w14:textId="77777777" w:rsidR="000F600C" w:rsidRPr="00931DED" w:rsidRDefault="000F600C" w:rsidP="000F600C">
      <w:pPr>
        <w:spacing w:after="0" w:line="240" w:lineRule="auto"/>
        <w:jc w:val="center"/>
        <w:rPr>
          <w:rFonts w:ascii="Calibri" w:eastAsia="Calibri" w:hAnsi="Calibri" w:cs="Calibri"/>
          <w:sz w:val="22"/>
          <w:szCs w:val="22"/>
          <w:lang w:val="en-GB"/>
        </w:rPr>
      </w:pPr>
    </w:p>
    <w:p w14:paraId="3A10A1FE" w14:textId="77777777" w:rsidR="000F600C" w:rsidRDefault="000F600C" w:rsidP="000F600C">
      <w:pPr>
        <w:rPr>
          <w:rFonts w:ascii="Arial Nova" w:hAnsi="Arial Nova"/>
          <w:b/>
          <w:bCs/>
          <w:lang w:val="en-GB"/>
        </w:rPr>
      </w:pPr>
    </w:p>
    <w:p w14:paraId="2B23695D" w14:textId="77777777" w:rsidR="000F600C" w:rsidRDefault="000F600C" w:rsidP="000F600C">
      <w:pPr>
        <w:rPr>
          <w:rFonts w:ascii="Arial Nova" w:hAnsi="Arial Nova"/>
          <w:b/>
          <w:bCs/>
          <w:lang w:val="en-GB"/>
        </w:rPr>
      </w:pPr>
    </w:p>
    <w:p w14:paraId="088DD155" w14:textId="77777777" w:rsidR="000F600C" w:rsidRPr="00931DED" w:rsidRDefault="000F600C" w:rsidP="000F600C">
      <w:pPr>
        <w:jc w:val="center"/>
        <w:rPr>
          <w:rFonts w:ascii="Arial Nova" w:hAnsi="Arial Nova"/>
          <w:b/>
          <w:bCs/>
          <w:sz w:val="32"/>
          <w:szCs w:val="32"/>
          <w:lang w:val="en-GB"/>
        </w:rPr>
      </w:pPr>
      <w:r w:rsidRPr="00931DED">
        <w:rPr>
          <w:rFonts w:ascii="Arial Nova" w:hAnsi="Arial Nova"/>
          <w:b/>
          <w:bCs/>
          <w:sz w:val="32"/>
          <w:szCs w:val="32"/>
          <w:lang w:val="en-GB"/>
        </w:rPr>
        <w:t xml:space="preserve">Call for Policy Briefs: </w:t>
      </w:r>
      <w:r w:rsidRPr="00931DED">
        <w:rPr>
          <w:rFonts w:ascii="Arial Nova" w:hAnsi="Arial Nova"/>
          <w:b/>
          <w:bCs/>
          <w:i/>
          <w:iCs/>
          <w:sz w:val="32"/>
          <w:szCs w:val="32"/>
          <w:lang w:val="en-GB"/>
        </w:rPr>
        <w:t>Polycrisis and Policy</w:t>
      </w:r>
      <w:r w:rsidRPr="00931DED">
        <w:rPr>
          <w:rFonts w:ascii="Arial Nova" w:hAnsi="Arial Nova"/>
          <w:b/>
          <w:bCs/>
          <w:sz w:val="32"/>
          <w:szCs w:val="32"/>
          <w:lang w:val="en-GB"/>
        </w:rPr>
        <w:t xml:space="preserve"> Series</w:t>
      </w:r>
    </w:p>
    <w:p w14:paraId="43A4545D" w14:textId="77777777" w:rsidR="000F600C" w:rsidRDefault="000F600C" w:rsidP="000F600C">
      <w:pPr>
        <w:rPr>
          <w:rFonts w:ascii="Arial Nova" w:hAnsi="Arial Nova"/>
          <w:b/>
          <w:bCs/>
          <w:lang w:val="en-GB"/>
        </w:rPr>
      </w:pPr>
    </w:p>
    <w:p w14:paraId="12454D41" w14:textId="77777777" w:rsidR="000F600C" w:rsidRPr="00931DED" w:rsidRDefault="000F600C" w:rsidP="000F600C">
      <w:pPr>
        <w:rPr>
          <w:rFonts w:ascii="Arial Nova" w:hAnsi="Arial Nova"/>
          <w:b/>
          <w:bCs/>
          <w:color w:val="002060"/>
          <w:lang w:val="en-GB"/>
        </w:rPr>
      </w:pPr>
      <w:r w:rsidRPr="00931DED">
        <w:rPr>
          <w:rFonts w:ascii="Arial Nova" w:hAnsi="Arial Nova"/>
          <w:b/>
          <w:bCs/>
          <w:color w:val="002060"/>
          <w:lang w:val="en-GB"/>
        </w:rPr>
        <w:t>Introduction</w:t>
      </w:r>
    </w:p>
    <w:p w14:paraId="07B16572" w14:textId="77777777" w:rsidR="000F600C" w:rsidRDefault="000F600C" w:rsidP="000F600C">
      <w:pPr>
        <w:jc w:val="both"/>
        <w:rPr>
          <w:rFonts w:ascii="Arial Nova" w:hAnsi="Arial Nova"/>
          <w:lang w:val="en-GB"/>
        </w:rPr>
      </w:pPr>
      <w:r w:rsidRPr="00931DED">
        <w:rPr>
          <w:rFonts w:ascii="Arial Nova" w:hAnsi="Arial Nova"/>
          <w:lang w:val="en-GB"/>
        </w:rPr>
        <w:t>The Polycrisis and Policy Work Package - PolyCIVIS Network invite</w:t>
      </w:r>
      <w:r>
        <w:rPr>
          <w:rFonts w:ascii="Arial Nova" w:hAnsi="Arial Nova"/>
          <w:lang w:val="en-GB"/>
        </w:rPr>
        <w:t>s</w:t>
      </w:r>
      <w:r w:rsidRPr="00931DED">
        <w:rPr>
          <w:rFonts w:ascii="Arial Nova" w:hAnsi="Arial Nova"/>
          <w:lang w:val="en-GB"/>
        </w:rPr>
        <w:t xml:space="preserve"> submissions for a series of high-impact policy briefs focused on the theme "Polycrisis and Policy." </w:t>
      </w:r>
    </w:p>
    <w:p w14:paraId="3B8D8E0C" w14:textId="77777777" w:rsidR="000F600C" w:rsidRDefault="000F600C" w:rsidP="000F600C">
      <w:pPr>
        <w:jc w:val="both"/>
        <w:rPr>
          <w:rFonts w:ascii="Arial Nova" w:hAnsi="Arial Nova"/>
          <w:lang w:val="en-GB"/>
        </w:rPr>
      </w:pPr>
      <w:r w:rsidRPr="00931DED">
        <w:rPr>
          <w:rFonts w:ascii="Arial Nova" w:hAnsi="Arial Nova"/>
          <w:lang w:val="en-GB"/>
        </w:rPr>
        <w:t>This series aims to inform and shape the discourse on the multifaceted concept of the polycrisis by addressing both conceptual frameworks and specific policy challenges. The briefs will draw on the expertise of a diverse network of researchers and practitioners to engage policymakers at various levels, including institutions of the European Union and the African Union, regional economic communities, and civil society organizations.</w:t>
      </w:r>
    </w:p>
    <w:p w14:paraId="374F24FA" w14:textId="77777777" w:rsidR="000F600C" w:rsidRPr="000F600C" w:rsidRDefault="000F600C" w:rsidP="000F600C">
      <w:pPr>
        <w:jc w:val="both"/>
        <w:rPr>
          <w:rFonts w:ascii="Arial Nova" w:hAnsi="Arial Nova"/>
          <w:color w:val="002060"/>
        </w:rPr>
      </w:pPr>
      <w:r w:rsidRPr="000F600C">
        <w:rPr>
          <w:rFonts w:ascii="Arial Nova" w:hAnsi="Arial Nova"/>
          <w:b/>
          <w:bCs/>
          <w:color w:val="002060"/>
        </w:rPr>
        <w:t>Polycrisis</w:t>
      </w:r>
    </w:p>
    <w:p w14:paraId="724A66D4" w14:textId="77777777" w:rsidR="000F600C" w:rsidRPr="000F600C" w:rsidRDefault="000F600C" w:rsidP="000F600C">
      <w:pPr>
        <w:jc w:val="both"/>
        <w:rPr>
          <w:rFonts w:ascii="Arial Nova" w:hAnsi="Arial Nova"/>
        </w:rPr>
      </w:pPr>
      <w:r w:rsidRPr="000F600C">
        <w:rPr>
          <w:rFonts w:ascii="Arial Nova" w:hAnsi="Arial Nova"/>
        </w:rPr>
        <w:t>The term polycrisis</w:t>
      </w:r>
      <w:r w:rsidRPr="000F600C">
        <w:rPr>
          <w:rFonts w:ascii="Arial Nova" w:hAnsi="Arial Nova"/>
          <w:i/>
          <w:iCs/>
        </w:rPr>
        <w:t> </w:t>
      </w:r>
      <w:r w:rsidRPr="000F600C">
        <w:rPr>
          <w:rFonts w:ascii="Arial Nova" w:hAnsi="Arial Nova"/>
        </w:rPr>
        <w:t>refers to a condition in which multiple crises unfold concurrently and interact across social, economic, political, and ecological systems. A polycrisis is characterised by dense interconnections and feedback loops through which disruptions in one domain can amplify or precipitate failures in others. These linkages often extend across macroregional scales and incorporate ecological drivers that further complicate forecasting and response. Understanding a polycrisis requires attention to nonlinear dynamics, cascading effects, and the accumulation of systemic vulnerabilities across sectors.</w:t>
      </w:r>
    </w:p>
    <w:p w14:paraId="1DAE0053" w14:textId="060DCE84" w:rsidR="000F600C" w:rsidRDefault="000F600C" w:rsidP="000F600C">
      <w:pPr>
        <w:jc w:val="both"/>
        <w:rPr>
          <w:rFonts w:ascii="Arial Nova" w:hAnsi="Arial Nova"/>
          <w:lang w:val="en-GB"/>
        </w:rPr>
      </w:pPr>
      <w:r>
        <w:rPr>
          <w:rFonts w:ascii="Arial Nova" w:hAnsi="Arial Nova"/>
          <w:lang w:val="en-GB"/>
        </w:rPr>
        <w:t xml:space="preserve">*For a </w:t>
      </w:r>
      <w:hyperlink r:id="rId6" w:history="1">
        <w:r w:rsidRPr="00CA3E9F">
          <w:rPr>
            <w:rStyle w:val="Hyperlink"/>
            <w:rFonts w:ascii="Arial Nova" w:hAnsi="Arial Nova"/>
            <w:lang w:val="en-GB"/>
          </w:rPr>
          <w:t>select bibliography of literature</w:t>
        </w:r>
      </w:hyperlink>
      <w:r>
        <w:rPr>
          <w:rFonts w:ascii="Arial Nova" w:hAnsi="Arial Nova"/>
          <w:lang w:val="en-GB"/>
        </w:rPr>
        <w:t xml:space="preserve"> relevant to the polycrisis, please consult this resource.</w:t>
      </w:r>
    </w:p>
    <w:p w14:paraId="7B681BAC" w14:textId="77777777" w:rsidR="000F600C" w:rsidRPr="000F600C" w:rsidRDefault="000F600C" w:rsidP="000F600C">
      <w:pPr>
        <w:jc w:val="both"/>
        <w:rPr>
          <w:rFonts w:ascii="Arial Nova" w:hAnsi="Arial Nova"/>
          <w:lang w:val="en-GB"/>
        </w:rPr>
      </w:pPr>
    </w:p>
    <w:p w14:paraId="408F2EB6" w14:textId="77777777" w:rsidR="000F600C" w:rsidRDefault="000F600C" w:rsidP="000F600C">
      <w:pPr>
        <w:rPr>
          <w:rFonts w:ascii="Arial Nova" w:hAnsi="Arial Nova"/>
          <w:b/>
          <w:bCs/>
          <w:color w:val="002060"/>
          <w:lang w:val="en-GB"/>
        </w:rPr>
      </w:pPr>
      <w:r w:rsidRPr="00931DED">
        <w:rPr>
          <w:rFonts w:ascii="Arial Nova" w:hAnsi="Arial Nova"/>
          <w:b/>
          <w:bCs/>
          <w:color w:val="002060"/>
          <w:lang w:val="en-GB"/>
        </w:rPr>
        <w:t>Scope:</w:t>
      </w:r>
    </w:p>
    <w:p w14:paraId="4FFFD97A" w14:textId="77777777" w:rsidR="000F600C" w:rsidRPr="00931DED" w:rsidRDefault="000F600C" w:rsidP="000F600C">
      <w:pPr>
        <w:jc w:val="both"/>
        <w:rPr>
          <w:rFonts w:ascii="Arial Nova" w:hAnsi="Arial Nova"/>
          <w:lang w:val="en-GB"/>
        </w:rPr>
      </w:pPr>
      <w:r w:rsidRPr="00931DED">
        <w:rPr>
          <w:rFonts w:ascii="Arial Nova" w:hAnsi="Arial Nova"/>
          <w:lang w:val="en-GB"/>
        </w:rPr>
        <w:t xml:space="preserve">Policy brief proposals must demonstrate clear alignment with the PolyCIVIS framework for addressing the polycrisis. This means that the proposed brief actively engages with </w:t>
      </w:r>
      <w:r w:rsidRPr="00931DED">
        <w:rPr>
          <w:rFonts w:ascii="Arial Nova" w:hAnsi="Arial Nova"/>
          <w:i/>
          <w:iCs/>
          <w:lang w:val="en-GB"/>
        </w:rPr>
        <w:t>at least one</w:t>
      </w:r>
      <w:r w:rsidRPr="00931DED">
        <w:rPr>
          <w:rFonts w:ascii="Arial Nova" w:hAnsi="Arial Nova"/>
          <w:lang w:val="en-GB"/>
        </w:rPr>
        <w:t xml:space="preserve"> of the following cross-cutting dimensions:</w:t>
      </w:r>
    </w:p>
    <w:p w14:paraId="25470399" w14:textId="77777777" w:rsidR="000F600C" w:rsidRPr="00931DED" w:rsidRDefault="000F600C" w:rsidP="000F600C">
      <w:pPr>
        <w:numPr>
          <w:ilvl w:val="0"/>
          <w:numId w:val="2"/>
        </w:numPr>
        <w:jc w:val="both"/>
        <w:rPr>
          <w:rFonts w:ascii="Arial Nova" w:hAnsi="Arial Nova"/>
          <w:lang w:val="en-GB"/>
        </w:rPr>
      </w:pPr>
      <w:r w:rsidRPr="00931DED">
        <w:rPr>
          <w:rFonts w:ascii="Arial Nova" w:hAnsi="Arial Nova"/>
          <w:b/>
          <w:bCs/>
          <w:i/>
          <w:iCs/>
          <w:lang w:val="en-GB"/>
        </w:rPr>
        <w:t>Across Crises</w:t>
      </w:r>
      <w:r w:rsidRPr="00931DED">
        <w:rPr>
          <w:rFonts w:ascii="Arial Nova" w:hAnsi="Arial Nova"/>
          <w:lang w:val="en-GB"/>
        </w:rPr>
        <w:t>: Examine how different crises (e.g., climate change, conflict, economic instability, social inequality) interact and amplify each other, and propose integrated solutions that consider these interconnections.</w:t>
      </w:r>
    </w:p>
    <w:p w14:paraId="3061DC19" w14:textId="77777777" w:rsidR="000F600C" w:rsidRPr="00931DED" w:rsidRDefault="000F600C" w:rsidP="000F600C">
      <w:pPr>
        <w:numPr>
          <w:ilvl w:val="0"/>
          <w:numId w:val="2"/>
        </w:numPr>
        <w:jc w:val="both"/>
        <w:rPr>
          <w:rFonts w:ascii="Arial Nova" w:hAnsi="Arial Nova"/>
          <w:lang w:val="en-GB"/>
        </w:rPr>
      </w:pPr>
      <w:r w:rsidRPr="00931DED">
        <w:rPr>
          <w:rFonts w:ascii="Arial Nova" w:hAnsi="Arial Nova"/>
          <w:b/>
          <w:bCs/>
          <w:i/>
          <w:iCs/>
          <w:lang w:val="en-GB"/>
        </w:rPr>
        <w:lastRenderedPageBreak/>
        <w:t>Across Time</w:t>
      </w:r>
      <w:r w:rsidRPr="00931DED">
        <w:rPr>
          <w:rFonts w:ascii="Arial Nova" w:hAnsi="Arial Nova"/>
          <w:lang w:val="en-GB"/>
        </w:rPr>
        <w:t>: Combine insights from the latest research and data with historical perspectives and lessons learned from past crises to inform policy recommendations.</w:t>
      </w:r>
    </w:p>
    <w:p w14:paraId="35458AEB" w14:textId="77777777" w:rsidR="000F600C" w:rsidRPr="00931DED" w:rsidRDefault="000F600C" w:rsidP="000F600C">
      <w:pPr>
        <w:numPr>
          <w:ilvl w:val="0"/>
          <w:numId w:val="2"/>
        </w:numPr>
        <w:jc w:val="both"/>
        <w:rPr>
          <w:rFonts w:ascii="Arial Nova" w:hAnsi="Arial Nova"/>
          <w:lang w:val="en-GB"/>
        </w:rPr>
      </w:pPr>
      <w:r w:rsidRPr="00931DED">
        <w:rPr>
          <w:rFonts w:ascii="Arial Nova" w:hAnsi="Arial Nova"/>
          <w:b/>
          <w:bCs/>
          <w:i/>
          <w:iCs/>
          <w:lang w:val="en-GB"/>
        </w:rPr>
        <w:t>Across Disciplinary Clusters</w:t>
      </w:r>
      <w:r w:rsidRPr="00931DED">
        <w:rPr>
          <w:rFonts w:ascii="Arial Nova" w:hAnsi="Arial Nova"/>
          <w:lang w:val="en-GB"/>
        </w:rPr>
        <w:t>: Integrate insights from multiple disciplines (e.g., political science, economics, sociology, environmental studies, etc.) to provide a comprehensive and nuanced understanding of the polycrisis.</w:t>
      </w:r>
    </w:p>
    <w:p w14:paraId="47EF190F" w14:textId="77777777" w:rsidR="000F600C" w:rsidRPr="00931DED" w:rsidRDefault="000F600C" w:rsidP="000F600C">
      <w:pPr>
        <w:numPr>
          <w:ilvl w:val="0"/>
          <w:numId w:val="2"/>
        </w:numPr>
        <w:jc w:val="both"/>
        <w:rPr>
          <w:rFonts w:ascii="Arial Nova" w:hAnsi="Arial Nova"/>
          <w:lang w:val="en-GB"/>
        </w:rPr>
      </w:pPr>
      <w:r w:rsidRPr="00931DED">
        <w:rPr>
          <w:rFonts w:ascii="Arial Nova" w:hAnsi="Arial Nova"/>
          <w:b/>
          <w:bCs/>
          <w:i/>
          <w:iCs/>
          <w:lang w:val="en-GB"/>
        </w:rPr>
        <w:t>Across Territories and Languages</w:t>
      </w:r>
      <w:r w:rsidRPr="00931DED">
        <w:rPr>
          <w:rFonts w:ascii="Arial Nova" w:hAnsi="Arial Nova"/>
          <w:lang w:val="en-GB"/>
        </w:rPr>
        <w:t>: Consider the polycrisis at various scales (local, national, regional, continental, and global) and across linguistic and cultural boundaries to develop policy solutions that are contextually relevant and inclusive.</w:t>
      </w:r>
    </w:p>
    <w:p w14:paraId="5D83AD8D" w14:textId="77777777" w:rsidR="000F600C" w:rsidRPr="000F600C" w:rsidRDefault="000F600C" w:rsidP="000F600C">
      <w:pPr>
        <w:pStyle w:val="NormalWeb"/>
        <w:jc w:val="both"/>
        <w:rPr>
          <w:rFonts w:ascii="Arial Nova" w:hAnsi="Arial Nova"/>
          <w:color w:val="002060"/>
        </w:rPr>
      </w:pPr>
      <w:r w:rsidRPr="000F600C">
        <w:rPr>
          <w:rStyle w:val="Strong"/>
          <w:rFonts w:ascii="Arial Nova" w:eastAsiaTheme="majorEastAsia" w:hAnsi="Arial Nova"/>
          <w:color w:val="002060"/>
        </w:rPr>
        <w:t>Main Risk Categories</w:t>
      </w:r>
    </w:p>
    <w:p w14:paraId="1FA5EF90" w14:textId="77777777" w:rsidR="000F600C" w:rsidRPr="000F600C" w:rsidRDefault="000F600C" w:rsidP="000F600C">
      <w:pPr>
        <w:pStyle w:val="NormalWeb"/>
        <w:numPr>
          <w:ilvl w:val="0"/>
          <w:numId w:val="3"/>
        </w:numPr>
        <w:jc w:val="both"/>
        <w:rPr>
          <w:rFonts w:ascii="Arial Nova" w:hAnsi="Arial Nova"/>
          <w:color w:val="000000"/>
        </w:rPr>
      </w:pPr>
      <w:r w:rsidRPr="000F600C">
        <w:rPr>
          <w:rFonts w:ascii="Arial Nova" w:hAnsi="Arial Nova"/>
          <w:color w:val="000000"/>
        </w:rPr>
        <w:t>Economic</w:t>
      </w:r>
    </w:p>
    <w:p w14:paraId="3BE42C06" w14:textId="77777777" w:rsidR="000F600C" w:rsidRPr="000F600C" w:rsidRDefault="000F600C" w:rsidP="000F600C">
      <w:pPr>
        <w:pStyle w:val="NormalWeb"/>
        <w:numPr>
          <w:ilvl w:val="0"/>
          <w:numId w:val="3"/>
        </w:numPr>
        <w:jc w:val="both"/>
        <w:rPr>
          <w:rFonts w:ascii="Arial Nova" w:hAnsi="Arial Nova"/>
          <w:color w:val="000000"/>
        </w:rPr>
      </w:pPr>
      <w:r w:rsidRPr="000F600C">
        <w:rPr>
          <w:rFonts w:ascii="Arial Nova" w:hAnsi="Arial Nova"/>
          <w:color w:val="000000"/>
        </w:rPr>
        <w:t>Societal</w:t>
      </w:r>
    </w:p>
    <w:p w14:paraId="3B79AB4F" w14:textId="77777777" w:rsidR="000F600C" w:rsidRPr="000F600C" w:rsidRDefault="000F600C" w:rsidP="000F600C">
      <w:pPr>
        <w:pStyle w:val="NormalWeb"/>
        <w:numPr>
          <w:ilvl w:val="0"/>
          <w:numId w:val="3"/>
        </w:numPr>
        <w:jc w:val="both"/>
        <w:rPr>
          <w:rFonts w:ascii="Arial Nova" w:hAnsi="Arial Nova"/>
          <w:color w:val="000000"/>
        </w:rPr>
      </w:pPr>
      <w:r w:rsidRPr="000F600C">
        <w:rPr>
          <w:rFonts w:ascii="Arial Nova" w:hAnsi="Arial Nova"/>
          <w:color w:val="000000"/>
        </w:rPr>
        <w:t>Environmental</w:t>
      </w:r>
    </w:p>
    <w:p w14:paraId="45ADDA54" w14:textId="77777777" w:rsidR="000F600C" w:rsidRPr="000F600C" w:rsidRDefault="000F600C" w:rsidP="000F600C">
      <w:pPr>
        <w:pStyle w:val="NormalWeb"/>
        <w:numPr>
          <w:ilvl w:val="0"/>
          <w:numId w:val="3"/>
        </w:numPr>
        <w:jc w:val="both"/>
        <w:rPr>
          <w:rFonts w:ascii="Arial Nova" w:hAnsi="Arial Nova"/>
          <w:color w:val="000000"/>
        </w:rPr>
      </w:pPr>
      <w:r w:rsidRPr="000F600C">
        <w:rPr>
          <w:rFonts w:ascii="Arial Nova" w:hAnsi="Arial Nova"/>
          <w:color w:val="000000"/>
        </w:rPr>
        <w:t>Technological</w:t>
      </w:r>
    </w:p>
    <w:p w14:paraId="399DA02F" w14:textId="77777777" w:rsidR="000F600C" w:rsidRPr="000F600C" w:rsidRDefault="000F600C" w:rsidP="000F600C">
      <w:pPr>
        <w:pStyle w:val="NormalWeb"/>
        <w:numPr>
          <w:ilvl w:val="0"/>
          <w:numId w:val="3"/>
        </w:numPr>
        <w:jc w:val="both"/>
        <w:rPr>
          <w:rFonts w:ascii="Arial Nova" w:hAnsi="Arial Nova"/>
          <w:color w:val="000000"/>
        </w:rPr>
      </w:pPr>
      <w:r w:rsidRPr="000F600C">
        <w:rPr>
          <w:rFonts w:ascii="Arial Nova" w:hAnsi="Arial Nova"/>
          <w:color w:val="000000"/>
        </w:rPr>
        <w:t>Geopolitical</w:t>
      </w:r>
    </w:p>
    <w:p w14:paraId="782C1564" w14:textId="77777777" w:rsidR="000F600C" w:rsidRDefault="000F600C" w:rsidP="000F600C">
      <w:pPr>
        <w:pStyle w:val="NormalWeb"/>
        <w:jc w:val="both"/>
        <w:rPr>
          <w:rFonts w:ascii="Arial Nova" w:hAnsi="Arial Nova"/>
          <w:color w:val="000000"/>
        </w:rPr>
      </w:pPr>
    </w:p>
    <w:p w14:paraId="76698AC4" w14:textId="3B5E65E8" w:rsidR="000F600C" w:rsidRPr="000F600C" w:rsidRDefault="000F600C" w:rsidP="000F600C">
      <w:pPr>
        <w:pStyle w:val="NormalWeb"/>
        <w:rPr>
          <w:rFonts w:ascii="Arial Nova" w:hAnsi="Arial Nova"/>
          <w:color w:val="002060"/>
        </w:rPr>
      </w:pPr>
      <w:r w:rsidRPr="000F600C">
        <w:rPr>
          <w:rFonts w:ascii="Arial Nova" w:hAnsi="Arial Nova"/>
          <w:b/>
          <w:bCs/>
          <w:color w:val="002060"/>
        </w:rPr>
        <w:t>Specific Areas of Policy Interest</w:t>
      </w:r>
    </w:p>
    <w:tbl>
      <w:tblPr>
        <w:tblStyle w:val="TableGrid"/>
        <w:tblW w:w="0" w:type="auto"/>
        <w:shd w:val="clear" w:color="auto" w:fill="E7E6E6" w:themeFill="background2"/>
        <w:tblLook w:val="04A0" w:firstRow="1" w:lastRow="0" w:firstColumn="1" w:lastColumn="0" w:noHBand="0" w:noVBand="1"/>
      </w:tblPr>
      <w:tblGrid>
        <w:gridCol w:w="9016"/>
      </w:tblGrid>
      <w:tr w:rsidR="000F600C" w:rsidRPr="008B2864" w14:paraId="697270F8" w14:textId="77777777" w:rsidTr="000F600C">
        <w:tc>
          <w:tcPr>
            <w:tcW w:w="9242" w:type="dxa"/>
            <w:shd w:val="clear" w:color="auto" w:fill="E7E6E6" w:themeFill="background2"/>
          </w:tcPr>
          <w:p w14:paraId="2D6732E3" w14:textId="7624DA87" w:rsidR="000F600C" w:rsidRPr="008B2864" w:rsidRDefault="000F600C" w:rsidP="000F600C">
            <w:pPr>
              <w:pStyle w:val="NormalWeb"/>
              <w:jc w:val="both"/>
              <w:rPr>
                <w:rFonts w:ascii="Arial Nova" w:hAnsi="Arial Nova"/>
                <w:i/>
                <w:iCs/>
                <w:u w:val="single"/>
              </w:rPr>
            </w:pPr>
            <w:r w:rsidRPr="008B2864">
              <w:rPr>
                <w:rFonts w:ascii="Arial Nova" w:hAnsi="Arial Nova"/>
                <w:b/>
                <w:bCs/>
                <w:color w:val="000000"/>
              </w:rPr>
              <w:t>NOTE</w:t>
            </w:r>
            <w:r w:rsidRPr="008B2864">
              <w:rPr>
                <w:rFonts w:ascii="Arial Nova" w:hAnsi="Arial Nova"/>
                <w:color w:val="000000"/>
              </w:rPr>
              <w:t>: F</w:t>
            </w:r>
            <w:r w:rsidRPr="008B2864">
              <w:rPr>
                <w:rFonts w:ascii="Arial Nova" w:hAnsi="Arial Nova"/>
              </w:rPr>
              <w:t xml:space="preserve">or this Round of submissions, we are particularly interested in the following </w:t>
            </w:r>
            <w:r w:rsidRPr="008B2864">
              <w:rPr>
                <w:rFonts w:ascii="Arial Nova" w:hAnsi="Arial Nova"/>
                <w:i/>
                <w:iCs/>
                <w:u w:val="single"/>
              </w:rPr>
              <w:t>policy issue areas:</w:t>
            </w:r>
          </w:p>
          <w:p w14:paraId="27682D6B" w14:textId="54977FA0"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Theoretical and conceptual approaches</w:t>
            </w:r>
          </w:p>
          <w:p w14:paraId="62A32A1A" w14:textId="77777777" w:rsidR="000F600C" w:rsidRPr="008B2864" w:rsidRDefault="000F600C" w:rsidP="000F600C">
            <w:pPr>
              <w:pStyle w:val="NormalWeb"/>
              <w:numPr>
                <w:ilvl w:val="0"/>
                <w:numId w:val="5"/>
              </w:numPr>
              <w:jc w:val="both"/>
              <w:rPr>
                <w:rFonts w:ascii="Arial Nova" w:hAnsi="Arial Nova"/>
                <w:color w:val="000000"/>
              </w:rPr>
            </w:pPr>
            <w:r w:rsidRPr="008B2864">
              <w:rPr>
                <w:rFonts w:ascii="Arial Nova" w:hAnsi="Arial Nova"/>
                <w:color w:val="000000"/>
              </w:rPr>
              <w:t>Definitions, critiques, and evolutions of the polycrisis concept</w:t>
            </w:r>
          </w:p>
          <w:p w14:paraId="2893052F" w14:textId="77777777" w:rsidR="000F600C" w:rsidRPr="008B2864" w:rsidRDefault="000F600C" w:rsidP="000F600C">
            <w:pPr>
              <w:pStyle w:val="NormalWeb"/>
              <w:numPr>
                <w:ilvl w:val="0"/>
                <w:numId w:val="5"/>
              </w:numPr>
              <w:jc w:val="both"/>
              <w:rPr>
                <w:rFonts w:ascii="Arial Nova" w:hAnsi="Arial Nova"/>
                <w:color w:val="000000"/>
              </w:rPr>
            </w:pPr>
            <w:r w:rsidRPr="008B2864">
              <w:rPr>
                <w:rFonts w:ascii="Arial Nova" w:hAnsi="Arial Nova"/>
                <w:color w:val="000000"/>
              </w:rPr>
              <w:t>Epistemological challenges in analysing interconnected crises</w:t>
            </w:r>
          </w:p>
          <w:p w14:paraId="2B3A9878" w14:textId="66675141"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Climate, environment, energy, and planetary boundaries</w:t>
            </w:r>
          </w:p>
          <w:p w14:paraId="01F7F682" w14:textId="77777777" w:rsidR="000F600C" w:rsidRPr="008B2864" w:rsidRDefault="000F600C" w:rsidP="000F600C">
            <w:pPr>
              <w:pStyle w:val="NormalWeb"/>
              <w:numPr>
                <w:ilvl w:val="0"/>
                <w:numId w:val="6"/>
              </w:numPr>
              <w:jc w:val="both"/>
              <w:rPr>
                <w:rFonts w:ascii="Arial Nova" w:hAnsi="Arial Nova"/>
                <w:color w:val="000000"/>
              </w:rPr>
            </w:pPr>
            <w:r w:rsidRPr="008B2864">
              <w:rPr>
                <w:rFonts w:ascii="Arial Nova" w:hAnsi="Arial Nova"/>
                <w:color w:val="000000"/>
              </w:rPr>
              <w:t>Climate change as a systemic risk multiplier</w:t>
            </w:r>
          </w:p>
          <w:p w14:paraId="20B89492" w14:textId="77777777" w:rsidR="000F600C" w:rsidRPr="008B2864" w:rsidRDefault="000F600C" w:rsidP="000F600C">
            <w:pPr>
              <w:pStyle w:val="NormalWeb"/>
              <w:numPr>
                <w:ilvl w:val="0"/>
                <w:numId w:val="6"/>
              </w:numPr>
              <w:jc w:val="both"/>
              <w:rPr>
                <w:rFonts w:ascii="Arial Nova" w:hAnsi="Arial Nova"/>
                <w:color w:val="000000"/>
              </w:rPr>
            </w:pPr>
            <w:r w:rsidRPr="008B2864">
              <w:rPr>
                <w:rFonts w:ascii="Arial Nova" w:hAnsi="Arial Nova"/>
                <w:color w:val="000000"/>
              </w:rPr>
              <w:t>Biodiversity loss, ecosystem collapse, and food and water insecurity</w:t>
            </w:r>
          </w:p>
          <w:p w14:paraId="6428797C" w14:textId="77777777" w:rsidR="000F600C" w:rsidRPr="008B2864" w:rsidRDefault="000F600C" w:rsidP="000F600C">
            <w:pPr>
              <w:pStyle w:val="NormalWeb"/>
              <w:numPr>
                <w:ilvl w:val="0"/>
                <w:numId w:val="6"/>
              </w:numPr>
              <w:jc w:val="both"/>
              <w:rPr>
                <w:rFonts w:ascii="Arial Nova" w:hAnsi="Arial Nova"/>
                <w:color w:val="000000"/>
              </w:rPr>
            </w:pPr>
            <w:r w:rsidRPr="008B2864">
              <w:rPr>
                <w:rFonts w:ascii="Arial Nova" w:hAnsi="Arial Nova"/>
                <w:color w:val="000000"/>
              </w:rPr>
              <w:t>Intersections between environmental stress and social inequality</w:t>
            </w:r>
          </w:p>
          <w:p w14:paraId="7FC96FB9" w14:textId="77777777" w:rsidR="000F600C" w:rsidRPr="008B2864" w:rsidRDefault="000F600C" w:rsidP="000F600C">
            <w:pPr>
              <w:pStyle w:val="NormalWeb"/>
              <w:numPr>
                <w:ilvl w:val="0"/>
                <w:numId w:val="6"/>
              </w:numPr>
              <w:jc w:val="both"/>
              <w:rPr>
                <w:rFonts w:ascii="Arial Nova" w:hAnsi="Arial Nova"/>
                <w:color w:val="000000"/>
              </w:rPr>
            </w:pPr>
            <w:r w:rsidRPr="008B2864">
              <w:rPr>
                <w:rFonts w:ascii="Arial Nova" w:hAnsi="Arial Nova"/>
                <w:color w:val="000000"/>
              </w:rPr>
              <w:t>Adaptation, resilience, and failures in climate governance</w:t>
            </w:r>
          </w:p>
          <w:p w14:paraId="6DCFF8B3" w14:textId="399CE623"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Geopolitical instability and international cooperation</w:t>
            </w:r>
          </w:p>
          <w:p w14:paraId="5E84EBD4" w14:textId="77777777" w:rsidR="000F600C" w:rsidRPr="008B2864" w:rsidRDefault="000F600C" w:rsidP="000F600C">
            <w:pPr>
              <w:pStyle w:val="NormalWeb"/>
              <w:numPr>
                <w:ilvl w:val="0"/>
                <w:numId w:val="7"/>
              </w:numPr>
              <w:jc w:val="both"/>
              <w:rPr>
                <w:rFonts w:ascii="Arial Nova" w:hAnsi="Arial Nova"/>
                <w:color w:val="000000"/>
              </w:rPr>
            </w:pPr>
            <w:r w:rsidRPr="008B2864">
              <w:rPr>
                <w:rFonts w:ascii="Arial Nova" w:hAnsi="Arial Nova"/>
                <w:color w:val="000000"/>
              </w:rPr>
              <w:t>Humanitarian governance and responses to climate- and conflict-driven displacement</w:t>
            </w:r>
          </w:p>
          <w:p w14:paraId="2C580726" w14:textId="77777777" w:rsidR="000F600C" w:rsidRPr="008B2864" w:rsidRDefault="000F600C" w:rsidP="000F600C">
            <w:pPr>
              <w:pStyle w:val="NormalWeb"/>
              <w:numPr>
                <w:ilvl w:val="0"/>
                <w:numId w:val="7"/>
              </w:numPr>
              <w:jc w:val="both"/>
              <w:rPr>
                <w:rFonts w:ascii="Arial Nova" w:hAnsi="Arial Nova"/>
                <w:color w:val="000000"/>
              </w:rPr>
            </w:pPr>
            <w:r w:rsidRPr="008B2864">
              <w:rPr>
                <w:rFonts w:ascii="Arial Nova" w:hAnsi="Arial Nova"/>
                <w:color w:val="000000"/>
              </w:rPr>
              <w:t>Shifting power blocs, conflict spillovers, and global security dynamics</w:t>
            </w:r>
          </w:p>
          <w:p w14:paraId="4816FC32" w14:textId="77777777" w:rsidR="000F600C" w:rsidRPr="008B2864" w:rsidRDefault="000F600C" w:rsidP="000F600C">
            <w:pPr>
              <w:pStyle w:val="NormalWeb"/>
              <w:numPr>
                <w:ilvl w:val="0"/>
                <w:numId w:val="7"/>
              </w:numPr>
              <w:jc w:val="both"/>
              <w:rPr>
                <w:rFonts w:ascii="Arial Nova" w:hAnsi="Arial Nova"/>
                <w:color w:val="000000"/>
              </w:rPr>
            </w:pPr>
            <w:r w:rsidRPr="008B2864">
              <w:rPr>
                <w:rFonts w:ascii="Arial Nova" w:hAnsi="Arial Nova"/>
                <w:color w:val="000000"/>
              </w:rPr>
              <w:t>Migration patterns and humanitarian emergencies</w:t>
            </w:r>
          </w:p>
          <w:p w14:paraId="34D5D744" w14:textId="77777777" w:rsidR="000F600C" w:rsidRPr="008B2864" w:rsidRDefault="000F600C" w:rsidP="000F600C">
            <w:pPr>
              <w:pStyle w:val="NormalWeb"/>
              <w:numPr>
                <w:ilvl w:val="0"/>
                <w:numId w:val="7"/>
              </w:numPr>
              <w:jc w:val="both"/>
              <w:rPr>
                <w:rFonts w:ascii="Arial Nova" w:hAnsi="Arial Nova"/>
                <w:color w:val="000000"/>
              </w:rPr>
            </w:pPr>
            <w:r w:rsidRPr="008B2864">
              <w:rPr>
                <w:rFonts w:ascii="Arial Nova" w:hAnsi="Arial Nova"/>
                <w:color w:val="000000"/>
              </w:rPr>
              <w:lastRenderedPageBreak/>
              <w:t>Decentralised or hybrid models of global coordination amid the erosion of multilateral institutions</w:t>
            </w:r>
          </w:p>
          <w:p w14:paraId="0AB02206" w14:textId="7F5D5C2A"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Economic resilience and sustainable transitions</w:t>
            </w:r>
          </w:p>
          <w:p w14:paraId="2215FD40" w14:textId="77777777" w:rsidR="000F600C" w:rsidRPr="008B2864" w:rsidRDefault="000F600C" w:rsidP="008B2864">
            <w:pPr>
              <w:pStyle w:val="NormalWeb"/>
              <w:numPr>
                <w:ilvl w:val="0"/>
                <w:numId w:val="10"/>
              </w:numPr>
              <w:jc w:val="both"/>
              <w:rPr>
                <w:rFonts w:ascii="Arial Nova" w:hAnsi="Arial Nova"/>
                <w:color w:val="000000"/>
              </w:rPr>
            </w:pPr>
            <w:r w:rsidRPr="008B2864">
              <w:rPr>
                <w:rFonts w:ascii="Arial Nova" w:hAnsi="Arial Nova"/>
                <w:color w:val="000000"/>
              </w:rPr>
              <w:t>Strategies for managing limited growth, resource scarcity, and post-carbon transitions</w:t>
            </w:r>
          </w:p>
          <w:p w14:paraId="40A13526" w14:textId="77777777" w:rsidR="000F600C" w:rsidRPr="008B2864" w:rsidRDefault="000F600C" w:rsidP="008B2864">
            <w:pPr>
              <w:pStyle w:val="NormalWeb"/>
              <w:numPr>
                <w:ilvl w:val="0"/>
                <w:numId w:val="10"/>
              </w:numPr>
              <w:jc w:val="both"/>
              <w:rPr>
                <w:rFonts w:ascii="Arial Nova" w:hAnsi="Arial Nova"/>
                <w:color w:val="000000"/>
              </w:rPr>
            </w:pPr>
            <w:r w:rsidRPr="008B2864">
              <w:rPr>
                <w:rFonts w:ascii="Arial Nova" w:hAnsi="Arial Nova"/>
                <w:color w:val="000000"/>
              </w:rPr>
              <w:t>Market design for systemic resilience (e.g., energy, food, and financial systems)</w:t>
            </w:r>
          </w:p>
          <w:p w14:paraId="0380D5CA" w14:textId="77777777" w:rsidR="000F600C" w:rsidRPr="008B2864" w:rsidRDefault="000F600C" w:rsidP="008B2864">
            <w:pPr>
              <w:pStyle w:val="NormalWeb"/>
              <w:numPr>
                <w:ilvl w:val="0"/>
                <w:numId w:val="10"/>
              </w:numPr>
              <w:jc w:val="both"/>
              <w:rPr>
                <w:rFonts w:ascii="Arial Nova" w:hAnsi="Arial Nova"/>
                <w:color w:val="000000"/>
              </w:rPr>
            </w:pPr>
            <w:r w:rsidRPr="008B2864">
              <w:rPr>
                <w:rFonts w:ascii="Arial Nova" w:hAnsi="Arial Nova"/>
                <w:color w:val="000000"/>
              </w:rPr>
              <w:t>Social protection, safety nets, and economic inclusion under crisis conditions</w:t>
            </w:r>
          </w:p>
          <w:p w14:paraId="009657D7" w14:textId="77777777" w:rsidR="000F600C" w:rsidRPr="008B2864" w:rsidRDefault="000F600C" w:rsidP="008B2864">
            <w:pPr>
              <w:pStyle w:val="NormalWeb"/>
              <w:numPr>
                <w:ilvl w:val="0"/>
                <w:numId w:val="10"/>
              </w:numPr>
              <w:jc w:val="both"/>
              <w:rPr>
                <w:rFonts w:ascii="Arial Nova" w:hAnsi="Arial Nova"/>
                <w:color w:val="000000"/>
              </w:rPr>
            </w:pPr>
            <w:r w:rsidRPr="008B2864">
              <w:rPr>
                <w:rFonts w:ascii="Arial Nova" w:hAnsi="Arial Nova"/>
                <w:color w:val="000000"/>
              </w:rPr>
              <w:t>Inflation, debt distress, and supply-chain fragility</w:t>
            </w:r>
          </w:p>
          <w:p w14:paraId="22B48216" w14:textId="77777777" w:rsidR="000F600C" w:rsidRPr="008B2864" w:rsidRDefault="000F600C" w:rsidP="008B2864">
            <w:pPr>
              <w:pStyle w:val="NormalWeb"/>
              <w:numPr>
                <w:ilvl w:val="0"/>
                <w:numId w:val="10"/>
              </w:numPr>
              <w:jc w:val="both"/>
              <w:rPr>
                <w:rFonts w:ascii="Arial Nova" w:hAnsi="Arial Nova"/>
                <w:color w:val="000000"/>
              </w:rPr>
            </w:pPr>
            <w:r w:rsidRPr="008B2864">
              <w:rPr>
                <w:rFonts w:ascii="Arial Nova" w:hAnsi="Arial Nova"/>
                <w:color w:val="000000"/>
              </w:rPr>
              <w:t>Inequality and labour-market disruptions</w:t>
            </w:r>
          </w:p>
          <w:p w14:paraId="01EF5B91" w14:textId="53FC16EC"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Technology, security, and digital governance</w:t>
            </w:r>
          </w:p>
          <w:p w14:paraId="569872EC" w14:textId="77777777" w:rsidR="000F600C" w:rsidRPr="008B2864" w:rsidRDefault="000F600C" w:rsidP="008B2864">
            <w:pPr>
              <w:pStyle w:val="NormalWeb"/>
              <w:numPr>
                <w:ilvl w:val="0"/>
                <w:numId w:val="11"/>
              </w:numPr>
              <w:jc w:val="both"/>
              <w:rPr>
                <w:rFonts w:ascii="Arial Nova" w:hAnsi="Arial Nova"/>
                <w:color w:val="000000"/>
              </w:rPr>
            </w:pPr>
            <w:r w:rsidRPr="008B2864">
              <w:rPr>
                <w:rFonts w:ascii="Arial Nova" w:hAnsi="Arial Nova"/>
                <w:color w:val="000000"/>
              </w:rPr>
              <w:t>AI governance, cybersecurity, disinformation management, and critical-infrastructure protection</w:t>
            </w:r>
          </w:p>
          <w:p w14:paraId="317DB47F" w14:textId="77777777" w:rsidR="000F600C" w:rsidRPr="008B2864" w:rsidRDefault="000F600C" w:rsidP="008B2864">
            <w:pPr>
              <w:pStyle w:val="NormalWeb"/>
              <w:numPr>
                <w:ilvl w:val="0"/>
                <w:numId w:val="11"/>
              </w:numPr>
              <w:jc w:val="both"/>
              <w:rPr>
                <w:rFonts w:ascii="Arial Nova" w:hAnsi="Arial Nova"/>
                <w:color w:val="000000"/>
              </w:rPr>
            </w:pPr>
            <w:r w:rsidRPr="008B2864">
              <w:rPr>
                <w:rFonts w:ascii="Arial Nova" w:hAnsi="Arial Nova"/>
                <w:color w:val="000000"/>
              </w:rPr>
              <w:t>Misinformation ecosystems (false or misleading reports), social fragmentation, and threats to democratic stability</w:t>
            </w:r>
          </w:p>
          <w:p w14:paraId="3E823C63" w14:textId="77777777" w:rsidR="000F600C" w:rsidRPr="008B2864" w:rsidRDefault="000F600C" w:rsidP="008B2864">
            <w:pPr>
              <w:pStyle w:val="NormalWeb"/>
              <w:numPr>
                <w:ilvl w:val="0"/>
                <w:numId w:val="11"/>
              </w:numPr>
              <w:jc w:val="both"/>
              <w:rPr>
                <w:rFonts w:ascii="Arial Nova" w:hAnsi="Arial Nova"/>
                <w:color w:val="000000"/>
              </w:rPr>
            </w:pPr>
            <w:r w:rsidRPr="008B2864">
              <w:rPr>
                <w:rFonts w:ascii="Arial Nova" w:hAnsi="Arial Nova"/>
                <w:color w:val="000000"/>
              </w:rPr>
              <w:t>Biotechnological risks and biosecurity</w:t>
            </w:r>
          </w:p>
          <w:p w14:paraId="25536A0C" w14:textId="77777777" w:rsidR="000F600C" w:rsidRPr="008B2864" w:rsidRDefault="000F600C" w:rsidP="008B2864">
            <w:pPr>
              <w:pStyle w:val="NormalWeb"/>
              <w:numPr>
                <w:ilvl w:val="0"/>
                <w:numId w:val="11"/>
              </w:numPr>
              <w:jc w:val="both"/>
              <w:rPr>
                <w:rFonts w:ascii="Arial Nova" w:hAnsi="Arial Nova"/>
                <w:color w:val="000000"/>
              </w:rPr>
            </w:pPr>
            <w:r w:rsidRPr="008B2864">
              <w:rPr>
                <w:rFonts w:ascii="Arial Nova" w:hAnsi="Arial Nova"/>
                <w:color w:val="000000"/>
              </w:rPr>
              <w:t>Interactions between technological innovation and societal resilience</w:t>
            </w:r>
          </w:p>
          <w:p w14:paraId="0C181E29" w14:textId="2AFEB8F7"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Social fragmentation, public trust, and democratic backsliding</w:t>
            </w:r>
          </w:p>
          <w:p w14:paraId="1449CF88" w14:textId="77777777" w:rsidR="000F600C" w:rsidRPr="008B2864" w:rsidRDefault="000F600C" w:rsidP="008B2864">
            <w:pPr>
              <w:pStyle w:val="NormalWeb"/>
              <w:numPr>
                <w:ilvl w:val="0"/>
                <w:numId w:val="12"/>
              </w:numPr>
              <w:jc w:val="both"/>
              <w:rPr>
                <w:rFonts w:ascii="Arial Nova" w:hAnsi="Arial Nova"/>
                <w:color w:val="000000"/>
              </w:rPr>
            </w:pPr>
            <w:r w:rsidRPr="008B2864">
              <w:rPr>
                <w:rFonts w:ascii="Arial Nova" w:hAnsi="Arial Nova"/>
                <w:color w:val="000000"/>
              </w:rPr>
              <w:t>Polarisation, populism, and institutional distrust</w:t>
            </w:r>
          </w:p>
          <w:p w14:paraId="12D85389" w14:textId="77777777" w:rsidR="008B2864" w:rsidRPr="008B2864" w:rsidRDefault="000F600C" w:rsidP="008B2864">
            <w:pPr>
              <w:pStyle w:val="NormalWeb"/>
              <w:numPr>
                <w:ilvl w:val="0"/>
                <w:numId w:val="12"/>
              </w:numPr>
              <w:jc w:val="both"/>
              <w:rPr>
                <w:rFonts w:ascii="Arial Nova" w:hAnsi="Arial Nova"/>
                <w:color w:val="000000"/>
              </w:rPr>
            </w:pPr>
            <w:r w:rsidRPr="008B2864">
              <w:rPr>
                <w:rFonts w:ascii="Arial Nova" w:hAnsi="Arial Nova"/>
                <w:color w:val="000000"/>
              </w:rPr>
              <w:t>Cultural conflict, identity politics, and crises of legitimacy</w:t>
            </w:r>
          </w:p>
          <w:p w14:paraId="3E24E16D" w14:textId="01BB8B36" w:rsidR="000F600C" w:rsidRPr="008B2864" w:rsidRDefault="000F600C" w:rsidP="008B2864">
            <w:pPr>
              <w:pStyle w:val="NormalWeb"/>
              <w:numPr>
                <w:ilvl w:val="0"/>
                <w:numId w:val="12"/>
              </w:numPr>
              <w:jc w:val="both"/>
              <w:rPr>
                <w:rFonts w:ascii="Arial Nova" w:hAnsi="Arial Nova"/>
                <w:color w:val="000000"/>
              </w:rPr>
            </w:pPr>
            <w:r w:rsidRPr="008B2864">
              <w:rPr>
                <w:rFonts w:ascii="Arial Nova" w:hAnsi="Arial Nova"/>
                <w:color w:val="000000"/>
              </w:rPr>
              <w:t>Psychological and social impacts of overlapping crises</w:t>
            </w:r>
          </w:p>
          <w:p w14:paraId="27E8EA0A" w14:textId="77777777"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Health, epidemiological risks, and crisis cascades</w:t>
            </w:r>
          </w:p>
          <w:p w14:paraId="2D675A80" w14:textId="77777777" w:rsidR="000F600C" w:rsidRPr="008B2864" w:rsidRDefault="000F600C" w:rsidP="008B2864">
            <w:pPr>
              <w:pStyle w:val="NormalWeb"/>
              <w:numPr>
                <w:ilvl w:val="0"/>
                <w:numId w:val="13"/>
              </w:numPr>
              <w:jc w:val="both"/>
              <w:rPr>
                <w:rFonts w:ascii="Arial Nova" w:hAnsi="Arial Nova"/>
                <w:color w:val="000000"/>
              </w:rPr>
            </w:pPr>
            <w:r w:rsidRPr="008B2864">
              <w:rPr>
                <w:rFonts w:ascii="Arial Nova" w:hAnsi="Arial Nova"/>
                <w:color w:val="000000"/>
              </w:rPr>
              <w:t>Pandemics as catalysts within polycrisis dynamics</w:t>
            </w:r>
          </w:p>
          <w:p w14:paraId="7107A44F" w14:textId="77777777" w:rsidR="000F600C" w:rsidRPr="008B2864" w:rsidRDefault="000F600C" w:rsidP="008B2864">
            <w:pPr>
              <w:pStyle w:val="NormalWeb"/>
              <w:numPr>
                <w:ilvl w:val="0"/>
                <w:numId w:val="13"/>
              </w:numPr>
              <w:jc w:val="both"/>
              <w:rPr>
                <w:rFonts w:ascii="Arial Nova" w:hAnsi="Arial Nova"/>
                <w:color w:val="000000"/>
              </w:rPr>
            </w:pPr>
            <w:r w:rsidRPr="008B2864">
              <w:rPr>
                <w:rFonts w:ascii="Arial Nova" w:hAnsi="Arial Nova"/>
                <w:color w:val="000000"/>
              </w:rPr>
              <w:t>Health-system fragility, surveillance capacities, and pandemic preparedness</w:t>
            </w:r>
          </w:p>
          <w:p w14:paraId="4D37534C" w14:textId="77777777" w:rsidR="000F600C" w:rsidRPr="008B2864" w:rsidRDefault="000F600C" w:rsidP="008B2864">
            <w:pPr>
              <w:pStyle w:val="NormalWeb"/>
              <w:numPr>
                <w:ilvl w:val="0"/>
                <w:numId w:val="13"/>
              </w:numPr>
              <w:jc w:val="both"/>
              <w:rPr>
                <w:rFonts w:ascii="Arial Nova" w:hAnsi="Arial Nova"/>
                <w:color w:val="000000"/>
              </w:rPr>
            </w:pPr>
            <w:r w:rsidRPr="008B2864">
              <w:rPr>
                <w:rFonts w:ascii="Arial Nova" w:hAnsi="Arial Nova"/>
                <w:color w:val="000000"/>
              </w:rPr>
              <w:t>Strengthening public-health infrastructures for multi-crisis contexts</w:t>
            </w:r>
          </w:p>
          <w:p w14:paraId="5E837A53" w14:textId="77777777" w:rsidR="000F600C" w:rsidRPr="008B2864" w:rsidRDefault="000F600C" w:rsidP="008B2864">
            <w:pPr>
              <w:pStyle w:val="NormalWeb"/>
              <w:numPr>
                <w:ilvl w:val="0"/>
                <w:numId w:val="13"/>
              </w:numPr>
              <w:jc w:val="both"/>
              <w:rPr>
                <w:rFonts w:ascii="Arial Nova" w:hAnsi="Arial Nova"/>
                <w:color w:val="000000"/>
              </w:rPr>
            </w:pPr>
            <w:r w:rsidRPr="008B2864">
              <w:rPr>
                <w:rFonts w:ascii="Arial Nova" w:hAnsi="Arial Nova"/>
                <w:color w:val="000000"/>
              </w:rPr>
              <w:t>Integration of health policy with economic, environmental, and social systems</w:t>
            </w:r>
          </w:p>
          <w:p w14:paraId="74F8BBAF" w14:textId="77777777"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Ethical, justice, and equity dimensions</w:t>
            </w:r>
          </w:p>
          <w:p w14:paraId="05451A3F" w14:textId="77777777" w:rsidR="000F600C" w:rsidRPr="008B2864" w:rsidRDefault="000F600C" w:rsidP="008B2864">
            <w:pPr>
              <w:pStyle w:val="NormalWeb"/>
              <w:numPr>
                <w:ilvl w:val="0"/>
                <w:numId w:val="14"/>
              </w:numPr>
              <w:jc w:val="both"/>
              <w:rPr>
                <w:rFonts w:ascii="Arial Nova" w:hAnsi="Arial Nova"/>
                <w:color w:val="000000"/>
              </w:rPr>
            </w:pPr>
            <w:r w:rsidRPr="008B2864">
              <w:rPr>
                <w:rFonts w:ascii="Arial Nova" w:hAnsi="Arial Nova"/>
                <w:color w:val="000000"/>
              </w:rPr>
              <w:t>Differential vulnerabilities across regions and populations</w:t>
            </w:r>
          </w:p>
          <w:p w14:paraId="470C8521" w14:textId="77777777" w:rsidR="000F600C" w:rsidRPr="008B2864" w:rsidRDefault="000F600C" w:rsidP="008B2864">
            <w:pPr>
              <w:pStyle w:val="NormalWeb"/>
              <w:numPr>
                <w:ilvl w:val="0"/>
                <w:numId w:val="14"/>
              </w:numPr>
              <w:jc w:val="both"/>
              <w:rPr>
                <w:rFonts w:ascii="Arial Nova" w:hAnsi="Arial Nova"/>
                <w:color w:val="000000"/>
              </w:rPr>
            </w:pPr>
            <w:r w:rsidRPr="008B2864">
              <w:rPr>
                <w:rFonts w:ascii="Arial Nova" w:hAnsi="Arial Nova"/>
                <w:color w:val="000000"/>
              </w:rPr>
              <w:t>Indigenous perspectives and decolonial approaches</w:t>
            </w:r>
          </w:p>
          <w:p w14:paraId="465C1D34" w14:textId="77777777" w:rsidR="000F600C" w:rsidRPr="008B2864" w:rsidRDefault="000F600C" w:rsidP="008B2864">
            <w:pPr>
              <w:pStyle w:val="NormalWeb"/>
              <w:numPr>
                <w:ilvl w:val="0"/>
                <w:numId w:val="14"/>
              </w:numPr>
              <w:jc w:val="both"/>
              <w:rPr>
                <w:rFonts w:ascii="Arial Nova" w:hAnsi="Arial Nova"/>
                <w:color w:val="000000"/>
              </w:rPr>
            </w:pPr>
            <w:r w:rsidRPr="008B2864">
              <w:rPr>
                <w:rFonts w:ascii="Arial Nova" w:hAnsi="Arial Nova"/>
                <w:color w:val="000000"/>
              </w:rPr>
              <w:t>Gender-responsive, youth, and intersectional approaches to crisis governance</w:t>
            </w:r>
          </w:p>
          <w:p w14:paraId="56D9220A" w14:textId="77777777" w:rsidR="000F600C" w:rsidRPr="008B2864" w:rsidRDefault="000F600C" w:rsidP="008B2864">
            <w:pPr>
              <w:pStyle w:val="NormalWeb"/>
              <w:numPr>
                <w:ilvl w:val="0"/>
                <w:numId w:val="14"/>
              </w:numPr>
              <w:jc w:val="both"/>
              <w:rPr>
                <w:rFonts w:ascii="Arial Nova" w:hAnsi="Arial Nova"/>
                <w:color w:val="000000"/>
              </w:rPr>
            </w:pPr>
            <w:r w:rsidRPr="008B2864">
              <w:rPr>
                <w:rFonts w:ascii="Arial Nova" w:hAnsi="Arial Nova"/>
                <w:color w:val="000000"/>
              </w:rPr>
              <w:t>Intergenerational justice and long-term decision-making</w:t>
            </w:r>
          </w:p>
          <w:p w14:paraId="62FBC4C7" w14:textId="77777777" w:rsidR="000F600C" w:rsidRPr="008B2864" w:rsidRDefault="000F600C" w:rsidP="008B2864">
            <w:pPr>
              <w:pStyle w:val="NormalWeb"/>
              <w:numPr>
                <w:ilvl w:val="0"/>
                <w:numId w:val="14"/>
              </w:numPr>
              <w:jc w:val="both"/>
              <w:rPr>
                <w:rFonts w:ascii="Arial Nova" w:hAnsi="Arial Nova"/>
                <w:color w:val="000000"/>
              </w:rPr>
            </w:pPr>
            <w:r w:rsidRPr="008B2864">
              <w:rPr>
                <w:rFonts w:ascii="Arial Nova" w:hAnsi="Arial Nova"/>
                <w:color w:val="000000"/>
              </w:rPr>
              <w:t>Ethical frameworks for crisis response and stewardship</w:t>
            </w:r>
          </w:p>
          <w:p w14:paraId="64563AED" w14:textId="77777777" w:rsidR="008B2864" w:rsidRPr="008B2864" w:rsidRDefault="008B2864" w:rsidP="008B2864">
            <w:pPr>
              <w:pStyle w:val="NormalWeb"/>
              <w:ind w:left="1080"/>
              <w:jc w:val="both"/>
              <w:rPr>
                <w:rFonts w:ascii="Arial Nova" w:hAnsi="Arial Nova"/>
                <w:color w:val="000000"/>
              </w:rPr>
            </w:pPr>
          </w:p>
          <w:p w14:paraId="6FB8FCC1" w14:textId="33CFB25E" w:rsidR="000F600C" w:rsidRPr="008B2864" w:rsidRDefault="000F600C" w:rsidP="008B2864">
            <w:pPr>
              <w:pStyle w:val="NormalWeb"/>
              <w:numPr>
                <w:ilvl w:val="0"/>
                <w:numId w:val="17"/>
              </w:numPr>
              <w:jc w:val="both"/>
              <w:rPr>
                <w:rFonts w:ascii="Arial Nova" w:hAnsi="Arial Nova"/>
                <w:color w:val="000000"/>
              </w:rPr>
            </w:pPr>
            <w:r w:rsidRPr="008B2864">
              <w:rPr>
                <w:rStyle w:val="Strong"/>
                <w:rFonts w:ascii="Arial Nova" w:eastAsiaTheme="majorEastAsia" w:hAnsi="Arial Nova"/>
                <w:color w:val="000000"/>
              </w:rPr>
              <w:t>Policy innovation, governance experiments, and futures thinking</w:t>
            </w:r>
          </w:p>
          <w:p w14:paraId="26C5589F" w14:textId="77777777" w:rsidR="000F600C" w:rsidRPr="008B2864" w:rsidRDefault="000F600C" w:rsidP="008B2864">
            <w:pPr>
              <w:pStyle w:val="NormalWeb"/>
              <w:numPr>
                <w:ilvl w:val="0"/>
                <w:numId w:val="15"/>
              </w:numPr>
              <w:jc w:val="both"/>
              <w:rPr>
                <w:rFonts w:ascii="Arial Nova" w:hAnsi="Arial Nova"/>
                <w:color w:val="000000"/>
              </w:rPr>
            </w:pPr>
            <w:r w:rsidRPr="008B2864">
              <w:rPr>
                <w:rFonts w:ascii="Arial Nova" w:hAnsi="Arial Nova"/>
                <w:color w:val="000000"/>
              </w:rPr>
              <w:t>Scenario planning, foresight methodologies, and risk modelling</w:t>
            </w:r>
          </w:p>
          <w:p w14:paraId="7BE5A3CD" w14:textId="77777777" w:rsidR="000F600C" w:rsidRPr="008B2864" w:rsidRDefault="000F600C" w:rsidP="008B2864">
            <w:pPr>
              <w:pStyle w:val="NormalWeb"/>
              <w:numPr>
                <w:ilvl w:val="0"/>
                <w:numId w:val="15"/>
              </w:numPr>
              <w:jc w:val="both"/>
              <w:rPr>
                <w:rFonts w:ascii="Arial Nova" w:hAnsi="Arial Nova"/>
                <w:color w:val="000000"/>
              </w:rPr>
            </w:pPr>
            <w:r w:rsidRPr="008B2864">
              <w:rPr>
                <w:rFonts w:ascii="Arial Nova" w:hAnsi="Arial Nova"/>
                <w:color w:val="000000"/>
              </w:rPr>
              <w:t>Innovative governance arrangements and crisis-coordination mechanisms</w:t>
            </w:r>
          </w:p>
          <w:p w14:paraId="33C9D9B9" w14:textId="77777777" w:rsidR="000F600C" w:rsidRPr="008B2864" w:rsidRDefault="000F600C" w:rsidP="008B2864">
            <w:pPr>
              <w:pStyle w:val="NormalWeb"/>
              <w:numPr>
                <w:ilvl w:val="0"/>
                <w:numId w:val="15"/>
              </w:numPr>
              <w:jc w:val="both"/>
              <w:rPr>
                <w:rFonts w:ascii="Arial Nova" w:hAnsi="Arial Nova"/>
                <w:color w:val="000000"/>
              </w:rPr>
            </w:pPr>
            <w:r w:rsidRPr="008B2864">
              <w:rPr>
                <w:rFonts w:ascii="Arial Nova" w:hAnsi="Arial Nova"/>
                <w:color w:val="000000"/>
              </w:rPr>
              <w:t>Transformational strategies for resilience and regeneration</w:t>
            </w:r>
          </w:p>
          <w:p w14:paraId="385E9CFA" w14:textId="366117A4" w:rsidR="000F600C" w:rsidRPr="008B2864" w:rsidRDefault="000F600C" w:rsidP="000F600C">
            <w:pPr>
              <w:pStyle w:val="NormalWeb"/>
              <w:numPr>
                <w:ilvl w:val="0"/>
                <w:numId w:val="15"/>
              </w:numPr>
              <w:jc w:val="both"/>
              <w:rPr>
                <w:rFonts w:ascii="Arial Nova" w:hAnsi="Arial Nova"/>
                <w:color w:val="000000"/>
              </w:rPr>
            </w:pPr>
            <w:r w:rsidRPr="008B2864">
              <w:rPr>
                <w:rFonts w:ascii="Arial Nova" w:hAnsi="Arial Nova"/>
                <w:color w:val="000000"/>
              </w:rPr>
              <w:t>Case studies of effective multi-sector interventions</w:t>
            </w:r>
          </w:p>
          <w:p w14:paraId="1FB47829" w14:textId="5A7DFC7B" w:rsidR="000F600C" w:rsidRPr="008B2864" w:rsidRDefault="000F600C" w:rsidP="000F600C">
            <w:pPr>
              <w:pStyle w:val="NormalWeb"/>
              <w:jc w:val="both"/>
              <w:rPr>
                <w:rFonts w:ascii="Arial Nova" w:hAnsi="Arial Nova"/>
                <w:color w:val="000000"/>
              </w:rPr>
            </w:pPr>
          </w:p>
        </w:tc>
      </w:tr>
    </w:tbl>
    <w:p w14:paraId="670E9027" w14:textId="77777777" w:rsidR="000F600C" w:rsidRPr="00931DED" w:rsidRDefault="000F600C" w:rsidP="000F600C">
      <w:pPr>
        <w:rPr>
          <w:rFonts w:ascii="Arial Nova" w:hAnsi="Arial Nova"/>
          <w:color w:val="002060"/>
          <w:lang w:val="en-GB"/>
        </w:rPr>
      </w:pPr>
    </w:p>
    <w:p w14:paraId="56BE446E" w14:textId="77777777" w:rsidR="000F600C" w:rsidRPr="007337AE" w:rsidRDefault="000F600C" w:rsidP="000F600C">
      <w:pPr>
        <w:rPr>
          <w:rFonts w:ascii="Arial Nova" w:hAnsi="Arial Nova"/>
          <w:i/>
          <w:iCs/>
          <w:lang w:val="en-GB"/>
        </w:rPr>
      </w:pPr>
      <w:r w:rsidRPr="007337AE">
        <w:rPr>
          <w:rFonts w:ascii="Arial Nova" w:hAnsi="Arial Nova"/>
          <w:b/>
          <w:bCs/>
          <w:lang w:val="en-GB"/>
        </w:rPr>
        <w:t xml:space="preserve">N.B </w:t>
      </w:r>
      <w:r w:rsidRPr="007337AE">
        <w:rPr>
          <w:rFonts w:ascii="Arial Nova" w:hAnsi="Arial Nova"/>
          <w:i/>
          <w:iCs/>
          <w:lang w:val="en-GB"/>
        </w:rPr>
        <w:t>Proposals that fail to demonstrate a clear connection to at least one of these cross-cutting dimensions will not be considered for review.</w:t>
      </w:r>
    </w:p>
    <w:p w14:paraId="5C5414E3" w14:textId="77777777" w:rsidR="000F600C" w:rsidRPr="00931DED" w:rsidRDefault="000F600C" w:rsidP="000F600C">
      <w:pPr>
        <w:rPr>
          <w:rFonts w:ascii="Arial Nova" w:hAnsi="Arial Nova"/>
          <w:b/>
          <w:bCs/>
          <w:color w:val="002060"/>
          <w:lang w:val="en-GB"/>
        </w:rPr>
      </w:pPr>
    </w:p>
    <w:p w14:paraId="20B23C02" w14:textId="77777777" w:rsidR="000F600C" w:rsidRPr="00931DED" w:rsidRDefault="000F600C" w:rsidP="000F600C">
      <w:pPr>
        <w:rPr>
          <w:rFonts w:ascii="Arial Nova" w:hAnsi="Arial Nova"/>
          <w:b/>
          <w:bCs/>
          <w:color w:val="002060"/>
          <w:lang w:val="en-GB"/>
        </w:rPr>
      </w:pPr>
      <w:r w:rsidRPr="00931DED">
        <w:rPr>
          <w:rFonts w:ascii="Arial Nova" w:hAnsi="Arial Nova"/>
          <w:b/>
          <w:bCs/>
          <w:color w:val="002060"/>
          <w:lang w:val="en-GB"/>
        </w:rPr>
        <w:t>Guidelines for Submission:</w:t>
      </w:r>
    </w:p>
    <w:p w14:paraId="70B4CFA5" w14:textId="4E862BFA" w:rsidR="000F600C" w:rsidRPr="007337AE" w:rsidRDefault="000F600C" w:rsidP="000F600C">
      <w:pPr>
        <w:rPr>
          <w:rFonts w:ascii="Arial Nova" w:hAnsi="Arial Nova"/>
          <w:lang w:val="en-GB"/>
        </w:rPr>
      </w:pPr>
      <w:r>
        <w:rPr>
          <w:rFonts w:ascii="Arial Nova" w:hAnsi="Arial Nova"/>
          <w:b/>
          <w:bCs/>
          <w:lang w:val="en-GB"/>
        </w:rPr>
        <w:t xml:space="preserve">How to submit: </w:t>
      </w:r>
      <w:r w:rsidRPr="00FE6177">
        <w:rPr>
          <w:rFonts w:ascii="Arial Nova" w:hAnsi="Arial Nova"/>
          <w:lang w:val="en-GB"/>
        </w:rPr>
        <w:t>Please</w:t>
      </w:r>
      <w:r>
        <w:rPr>
          <w:rFonts w:ascii="Arial Nova" w:hAnsi="Arial Nova"/>
          <w:b/>
          <w:bCs/>
          <w:lang w:val="en-GB"/>
        </w:rPr>
        <w:t xml:space="preserve"> </w:t>
      </w:r>
      <w:hyperlink r:id="rId7" w:history="1">
        <w:r w:rsidRPr="00CA3E9F">
          <w:rPr>
            <w:rStyle w:val="Hyperlink"/>
            <w:rFonts w:ascii="Arial Nova" w:hAnsi="Arial Nova"/>
            <w:lang w:val="en-GB"/>
          </w:rPr>
          <w:t>Complete this form</w:t>
        </w:r>
      </w:hyperlink>
      <w:r w:rsidRPr="00FE6177">
        <w:rPr>
          <w:rFonts w:ascii="Arial Nova" w:hAnsi="Arial Nova"/>
          <w:color w:val="002060"/>
          <w:lang w:val="en-GB"/>
        </w:rPr>
        <w:t xml:space="preserve"> </w:t>
      </w:r>
      <w:r w:rsidRPr="007337AE">
        <w:rPr>
          <w:rFonts w:ascii="Arial Nova" w:hAnsi="Arial Nova"/>
          <w:lang w:val="en-GB"/>
        </w:rPr>
        <w:t xml:space="preserve">to submit your abstract.  </w:t>
      </w:r>
    </w:p>
    <w:p w14:paraId="638EF29D" w14:textId="77777777" w:rsidR="000F600C" w:rsidRDefault="000F600C" w:rsidP="000F600C">
      <w:pPr>
        <w:rPr>
          <w:rFonts w:ascii="Arial Nova" w:hAnsi="Arial Nova"/>
          <w:b/>
          <w:bCs/>
          <w:lang w:val="en-GB"/>
        </w:rPr>
      </w:pPr>
    </w:p>
    <w:p w14:paraId="7DFE4CAB" w14:textId="77777777" w:rsidR="000F600C" w:rsidRPr="00931DED" w:rsidRDefault="000F600C" w:rsidP="000F600C">
      <w:pPr>
        <w:rPr>
          <w:rFonts w:ascii="Arial Nova" w:hAnsi="Arial Nova"/>
          <w:color w:val="002060"/>
          <w:lang w:val="en-GB"/>
        </w:rPr>
      </w:pPr>
      <w:r w:rsidRPr="007337AE">
        <w:rPr>
          <w:rFonts w:ascii="Arial Nova" w:hAnsi="Arial Nova"/>
          <w:b/>
          <w:bCs/>
          <w:color w:val="002060"/>
          <w:lang w:val="en-GB"/>
        </w:rPr>
        <w:t>Key dates</w:t>
      </w:r>
    </w:p>
    <w:p w14:paraId="1FD041F2" w14:textId="57A169B8" w:rsidR="000F600C" w:rsidRPr="00C822BA" w:rsidRDefault="000F600C" w:rsidP="00C822BA">
      <w:pPr>
        <w:numPr>
          <w:ilvl w:val="0"/>
          <w:numId w:val="1"/>
        </w:numPr>
        <w:rPr>
          <w:rFonts w:ascii="Arial Nova" w:hAnsi="Arial Nova"/>
          <w:lang w:val="en-GB"/>
        </w:rPr>
      </w:pPr>
      <w:r w:rsidRPr="00931DED">
        <w:rPr>
          <w:rFonts w:ascii="Arial Nova" w:hAnsi="Arial Nova"/>
          <w:b/>
          <w:bCs/>
          <w:lang w:val="en-GB"/>
        </w:rPr>
        <w:t>Abstract Submission:</w:t>
      </w:r>
      <w:r w:rsidRPr="00931DED">
        <w:rPr>
          <w:rFonts w:ascii="Arial Nova" w:hAnsi="Arial Nova"/>
          <w:lang w:val="en-GB"/>
        </w:rPr>
        <w:t xml:space="preserve"> Please submit a 250-word abstract outlining the main arguments and policy recommendations by </w:t>
      </w:r>
      <w:r w:rsidR="00EB4CC4" w:rsidRPr="00EB4CC4">
        <w:rPr>
          <w:rFonts w:ascii="Arial Nova" w:hAnsi="Arial Nova"/>
          <w:b/>
          <w:bCs/>
          <w:lang w:val="en-GB"/>
        </w:rPr>
        <w:t>1</w:t>
      </w:r>
      <w:r w:rsidR="00C822BA">
        <w:rPr>
          <w:rFonts w:ascii="Arial Nova" w:hAnsi="Arial Nova"/>
          <w:b/>
          <w:bCs/>
          <w:lang w:val="en-GB"/>
        </w:rPr>
        <w:t>5</w:t>
      </w:r>
      <w:r w:rsidR="00EB4CC4" w:rsidRPr="00C822BA">
        <w:rPr>
          <w:rFonts w:ascii="Arial Nova" w:hAnsi="Arial Nova"/>
          <w:b/>
          <w:bCs/>
          <w:lang w:val="en-GB"/>
        </w:rPr>
        <w:t xml:space="preserve"> January 2026</w:t>
      </w:r>
    </w:p>
    <w:p w14:paraId="137EA447" w14:textId="672A6B6C" w:rsidR="000F600C" w:rsidRPr="00931DED" w:rsidRDefault="000F600C" w:rsidP="000F600C">
      <w:pPr>
        <w:numPr>
          <w:ilvl w:val="0"/>
          <w:numId w:val="1"/>
        </w:numPr>
        <w:rPr>
          <w:rFonts w:ascii="Arial Nova" w:hAnsi="Arial Nova"/>
          <w:b/>
          <w:bCs/>
          <w:lang w:val="en-GB"/>
        </w:rPr>
      </w:pPr>
      <w:r w:rsidRPr="007337AE">
        <w:rPr>
          <w:rFonts w:ascii="Arial Nova" w:hAnsi="Arial Nova"/>
          <w:lang w:val="en-GB"/>
        </w:rPr>
        <w:t xml:space="preserve">Notification of acceptance of abstracts and invitation to submit a policy brief: </w:t>
      </w:r>
      <w:r w:rsidR="008B2864">
        <w:rPr>
          <w:rFonts w:ascii="Arial Nova" w:hAnsi="Arial Nova"/>
          <w:b/>
          <w:bCs/>
          <w:lang w:val="en-GB"/>
        </w:rPr>
        <w:t>30 January 2026</w:t>
      </w:r>
      <w:r w:rsidRPr="002410F5">
        <w:rPr>
          <w:rFonts w:ascii="Arial Nova" w:hAnsi="Arial Nova"/>
          <w:b/>
          <w:bCs/>
          <w:lang w:val="en-GB"/>
        </w:rPr>
        <w:t xml:space="preserve"> </w:t>
      </w:r>
    </w:p>
    <w:p w14:paraId="7AB92A22" w14:textId="27ED0599" w:rsidR="008B2864" w:rsidRPr="008B2864" w:rsidRDefault="000F600C" w:rsidP="000F600C">
      <w:pPr>
        <w:numPr>
          <w:ilvl w:val="0"/>
          <w:numId w:val="1"/>
        </w:numPr>
        <w:rPr>
          <w:rFonts w:ascii="Arial Nova" w:hAnsi="Arial Nova"/>
          <w:b/>
          <w:bCs/>
          <w:lang w:val="en-GB"/>
        </w:rPr>
      </w:pPr>
      <w:r w:rsidRPr="008B2864">
        <w:rPr>
          <w:rFonts w:ascii="Arial Nova" w:hAnsi="Arial Nova"/>
          <w:b/>
          <w:bCs/>
          <w:lang w:val="en-GB"/>
        </w:rPr>
        <w:t>First Draft Submission:</w:t>
      </w:r>
      <w:r w:rsidRPr="008B2864">
        <w:rPr>
          <w:rFonts w:ascii="Arial Nova" w:hAnsi="Arial Nova"/>
          <w:lang w:val="en-GB"/>
        </w:rPr>
        <w:t xml:space="preserve"> The first draft of the policy brief is due by </w:t>
      </w:r>
      <w:r w:rsidR="008B2864" w:rsidRPr="008B2864">
        <w:rPr>
          <w:rFonts w:ascii="Arial Nova" w:hAnsi="Arial Nova"/>
          <w:b/>
          <w:bCs/>
          <w:lang w:val="en-GB"/>
        </w:rPr>
        <w:t>20 March 2026</w:t>
      </w:r>
    </w:p>
    <w:p w14:paraId="03F3DEFF" w14:textId="77777777" w:rsidR="008B2864" w:rsidRDefault="008B2864" w:rsidP="008B2864">
      <w:pPr>
        <w:rPr>
          <w:rFonts w:ascii="Arial Nova" w:hAnsi="Arial Nova"/>
          <w:b/>
          <w:bCs/>
          <w:lang w:val="en-GB"/>
        </w:rPr>
      </w:pPr>
    </w:p>
    <w:p w14:paraId="14B09437" w14:textId="2C924F2B" w:rsidR="000F600C" w:rsidRPr="008B2864" w:rsidRDefault="000F600C" w:rsidP="008B2864">
      <w:pPr>
        <w:rPr>
          <w:rFonts w:ascii="Arial Nova" w:hAnsi="Arial Nova"/>
          <w:lang w:val="en-GB"/>
        </w:rPr>
      </w:pPr>
      <w:r w:rsidRPr="008B2864">
        <w:rPr>
          <w:rFonts w:ascii="Arial Nova" w:hAnsi="Arial Nova"/>
          <w:i/>
          <w:iCs/>
          <w:lang w:val="en-GB"/>
        </w:rPr>
        <w:t>Policy briefs have an indicative limit of 3,000 words.</w:t>
      </w:r>
    </w:p>
    <w:p w14:paraId="5532AC9D" w14:textId="77777777" w:rsidR="000F600C" w:rsidRDefault="000F600C" w:rsidP="000F600C">
      <w:pPr>
        <w:rPr>
          <w:rFonts w:ascii="Arial Nova" w:hAnsi="Arial Nova"/>
          <w:b/>
          <w:bCs/>
          <w:lang w:val="en-GB"/>
        </w:rPr>
      </w:pPr>
      <w:r>
        <w:rPr>
          <w:rFonts w:ascii="Arial Nova" w:hAnsi="Arial Nova"/>
          <w:i/>
          <w:iCs/>
          <w:lang w:val="en-GB"/>
        </w:rPr>
        <w:t xml:space="preserve">N.B: </w:t>
      </w:r>
      <w:r w:rsidRPr="00CA3CB6">
        <w:rPr>
          <w:rFonts w:ascii="Arial Nova" w:hAnsi="Arial Nova"/>
          <w:i/>
          <w:iCs/>
          <w:lang w:val="en-GB"/>
        </w:rPr>
        <w:t>A detailed style guide will be provided to authors whose abstracts have been accepted</w:t>
      </w:r>
      <w:r w:rsidRPr="00CA3CB6">
        <w:rPr>
          <w:rFonts w:ascii="Arial Nova" w:hAnsi="Arial Nova"/>
          <w:b/>
          <w:bCs/>
          <w:lang w:val="en-GB"/>
        </w:rPr>
        <w:t>.</w:t>
      </w:r>
    </w:p>
    <w:p w14:paraId="1414EA70" w14:textId="77777777" w:rsidR="000F600C" w:rsidRDefault="000F600C" w:rsidP="000F600C">
      <w:pPr>
        <w:rPr>
          <w:rFonts w:ascii="Arial Nova" w:hAnsi="Arial Nova"/>
          <w:b/>
          <w:bCs/>
          <w:lang w:val="en-GB"/>
        </w:rPr>
      </w:pPr>
    </w:p>
    <w:p w14:paraId="017297A5" w14:textId="77777777" w:rsidR="000F600C" w:rsidRPr="00931DED" w:rsidRDefault="000F600C" w:rsidP="000F600C">
      <w:pPr>
        <w:rPr>
          <w:rFonts w:ascii="Arial Nova" w:hAnsi="Arial Nova"/>
          <w:b/>
          <w:bCs/>
          <w:lang w:val="en-GB"/>
        </w:rPr>
      </w:pPr>
      <w:r w:rsidRPr="00931DED">
        <w:rPr>
          <w:rFonts w:ascii="Arial Nova" w:hAnsi="Arial Nova"/>
          <w:b/>
          <w:bCs/>
          <w:lang w:val="en-GB"/>
        </w:rPr>
        <w:t>Contact Information:</w:t>
      </w:r>
    </w:p>
    <w:p w14:paraId="243036F6" w14:textId="77777777" w:rsidR="000F600C" w:rsidRPr="00931DED" w:rsidRDefault="000F600C" w:rsidP="000F600C">
      <w:pPr>
        <w:rPr>
          <w:rFonts w:ascii="Arial Nova" w:hAnsi="Arial Nova"/>
          <w:lang w:val="en-GB"/>
        </w:rPr>
      </w:pPr>
      <w:r w:rsidRPr="00931DED">
        <w:rPr>
          <w:rFonts w:ascii="Arial Nova" w:hAnsi="Arial Nova"/>
          <w:lang w:val="en-GB"/>
        </w:rPr>
        <w:t>For</w:t>
      </w:r>
      <w:r>
        <w:rPr>
          <w:rFonts w:ascii="Arial Nova" w:hAnsi="Arial Nova"/>
          <w:lang w:val="en-GB"/>
        </w:rPr>
        <w:t xml:space="preserve"> enquiries</w:t>
      </w:r>
      <w:r w:rsidRPr="00931DED">
        <w:rPr>
          <w:rFonts w:ascii="Arial Nova" w:hAnsi="Arial Nova"/>
          <w:lang w:val="en-GB"/>
        </w:rPr>
        <w:t xml:space="preserve">, please contact  </w:t>
      </w:r>
      <w:r>
        <w:rPr>
          <w:rFonts w:ascii="Arial Nova" w:hAnsi="Arial Nova"/>
          <w:lang w:val="en-GB"/>
        </w:rPr>
        <w:t xml:space="preserve">Dr. Faith Mabera </w:t>
      </w:r>
      <w:hyperlink r:id="rId8" w:history="1">
        <w:r w:rsidRPr="00EB42EE">
          <w:rPr>
            <w:rStyle w:val="Hyperlink"/>
            <w:rFonts w:ascii="Arial Nova" w:hAnsi="Arial Nova"/>
            <w:lang w:val="en-GB"/>
          </w:rPr>
          <w:t>faith.mabera@wits.ac.za</w:t>
        </w:r>
      </w:hyperlink>
      <w:r>
        <w:rPr>
          <w:rFonts w:ascii="Arial Nova" w:hAnsi="Arial Nova"/>
          <w:lang w:val="en-GB"/>
        </w:rPr>
        <w:t xml:space="preserve"> </w:t>
      </w:r>
    </w:p>
    <w:p w14:paraId="68B940AD" w14:textId="77777777" w:rsidR="000F600C" w:rsidRPr="00931DED" w:rsidRDefault="007A4C83" w:rsidP="000F600C">
      <w:pPr>
        <w:rPr>
          <w:rFonts w:ascii="Arial Nova" w:hAnsi="Arial Nova"/>
          <w:lang w:val="en-GB"/>
        </w:rPr>
      </w:pPr>
      <w:r>
        <w:rPr>
          <w:rFonts w:ascii="Arial Nova" w:hAnsi="Arial Nova"/>
          <w:lang w:val="en-GB"/>
        </w:rPr>
        <w:pict w14:anchorId="3C862636">
          <v:rect id="_x0000_i1025" style="width:0;height:1.5pt" o:hralign="center" o:hrstd="t" o:hr="t" fillcolor="#a0a0a0" stroked="f"/>
        </w:pict>
      </w:r>
    </w:p>
    <w:p w14:paraId="25F312DD" w14:textId="77777777" w:rsidR="000F600C" w:rsidRPr="00931DED" w:rsidRDefault="000F600C" w:rsidP="000F600C">
      <w:pPr>
        <w:rPr>
          <w:rFonts w:ascii="Arial Nova" w:hAnsi="Arial Nova"/>
        </w:rPr>
      </w:pPr>
    </w:p>
    <w:p w14:paraId="123CF59F" w14:textId="77777777" w:rsidR="003A2A1B" w:rsidRDefault="003A2A1B"/>
    <w:sectPr w:rsidR="003A2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Arial Nova">
    <w:altName w:val="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515"/>
    <w:multiLevelType w:val="hybridMultilevel"/>
    <w:tmpl w:val="B0BC9AD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472420"/>
    <w:multiLevelType w:val="multilevel"/>
    <w:tmpl w:val="26A277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70DCA"/>
    <w:multiLevelType w:val="multilevel"/>
    <w:tmpl w:val="6A6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516E1"/>
    <w:multiLevelType w:val="hybridMultilevel"/>
    <w:tmpl w:val="1442ADA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46594F"/>
    <w:multiLevelType w:val="hybridMultilevel"/>
    <w:tmpl w:val="1F902776"/>
    <w:lvl w:ilvl="0" w:tplc="F36E8418">
      <w:start w:val="1"/>
      <w:numFmt w:val="decimal"/>
      <w:lvlText w:val="%1."/>
      <w:lvlJc w:val="left"/>
      <w:pPr>
        <w:ind w:left="1080" w:hanging="360"/>
      </w:pPr>
      <w:rPr>
        <w:rFonts w:eastAsiaTheme="majorEastAsia"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614364"/>
    <w:multiLevelType w:val="hybridMultilevel"/>
    <w:tmpl w:val="77FA53A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2D5C0C"/>
    <w:multiLevelType w:val="hybridMultilevel"/>
    <w:tmpl w:val="9148F7F6"/>
    <w:lvl w:ilvl="0" w:tplc="A6F6DF7E">
      <w:numFmt w:val="bullet"/>
      <w:lvlText w:val=""/>
      <w:lvlJc w:val="left"/>
      <w:pPr>
        <w:ind w:left="720" w:hanging="360"/>
      </w:pPr>
      <w:rPr>
        <w:rFonts w:ascii="Symbol" w:eastAsiaTheme="minorHAnsi" w:hAnsi="Symbol" w:cs="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56039C"/>
    <w:multiLevelType w:val="hybridMultilevel"/>
    <w:tmpl w:val="20C6C058"/>
    <w:lvl w:ilvl="0" w:tplc="A67C8CB2">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958DB"/>
    <w:multiLevelType w:val="hybridMultilevel"/>
    <w:tmpl w:val="6BB0D55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4E240B"/>
    <w:multiLevelType w:val="multilevel"/>
    <w:tmpl w:val="DCF6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35204"/>
    <w:multiLevelType w:val="hybridMultilevel"/>
    <w:tmpl w:val="BD84E9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A94521"/>
    <w:multiLevelType w:val="hybridMultilevel"/>
    <w:tmpl w:val="805022B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73061F"/>
    <w:multiLevelType w:val="hybridMultilevel"/>
    <w:tmpl w:val="26D4D88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017D24"/>
    <w:multiLevelType w:val="hybridMultilevel"/>
    <w:tmpl w:val="09BCB82A"/>
    <w:lvl w:ilvl="0" w:tplc="E23A6BEE">
      <w:start w:val="1"/>
      <w:numFmt w:val="decimal"/>
      <w:lvlText w:val="%1."/>
      <w:lvlJc w:val="left"/>
      <w:pPr>
        <w:ind w:left="720" w:hanging="360"/>
      </w:pPr>
      <w:rPr>
        <w:rFonts w:ascii="Times New Roman" w:eastAsiaTheme="majorEastAsia" w:hAnsi="Times New Roman"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9E239B"/>
    <w:multiLevelType w:val="hybridMultilevel"/>
    <w:tmpl w:val="389E80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D744EE"/>
    <w:multiLevelType w:val="hybridMultilevel"/>
    <w:tmpl w:val="F60E08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D11D59"/>
    <w:multiLevelType w:val="hybridMultilevel"/>
    <w:tmpl w:val="F3384E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6"/>
  </w:num>
  <w:num w:numId="3">
    <w:abstractNumId w:val="2"/>
  </w:num>
  <w:num w:numId="4">
    <w:abstractNumId w:val="1"/>
  </w:num>
  <w:num w:numId="5">
    <w:abstractNumId w:val="15"/>
  </w:num>
  <w:num w:numId="6">
    <w:abstractNumId w:val="3"/>
  </w:num>
  <w:num w:numId="7">
    <w:abstractNumId w:val="11"/>
  </w:num>
  <w:num w:numId="8">
    <w:abstractNumId w:val="4"/>
  </w:num>
  <w:num w:numId="9">
    <w:abstractNumId w:val="13"/>
  </w:num>
  <w:num w:numId="10">
    <w:abstractNumId w:val="0"/>
  </w:num>
  <w:num w:numId="11">
    <w:abstractNumId w:val="14"/>
  </w:num>
  <w:num w:numId="12">
    <w:abstractNumId w:val="10"/>
  </w:num>
  <w:num w:numId="13">
    <w:abstractNumId w:val="5"/>
  </w:num>
  <w:num w:numId="14">
    <w:abstractNumId w:val="12"/>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0C"/>
    <w:rsid w:val="000F600C"/>
    <w:rsid w:val="001D3B56"/>
    <w:rsid w:val="0035497A"/>
    <w:rsid w:val="003A2A1B"/>
    <w:rsid w:val="003B7500"/>
    <w:rsid w:val="005F343A"/>
    <w:rsid w:val="007100D3"/>
    <w:rsid w:val="00716648"/>
    <w:rsid w:val="008B2864"/>
    <w:rsid w:val="008C5E8E"/>
    <w:rsid w:val="00915B5B"/>
    <w:rsid w:val="00951F92"/>
    <w:rsid w:val="00AD3073"/>
    <w:rsid w:val="00B11784"/>
    <w:rsid w:val="00B322F0"/>
    <w:rsid w:val="00B9573D"/>
    <w:rsid w:val="00C22244"/>
    <w:rsid w:val="00C822BA"/>
    <w:rsid w:val="00CA3E9F"/>
    <w:rsid w:val="00CB08D7"/>
    <w:rsid w:val="00DE6FAB"/>
    <w:rsid w:val="00EB4CC4"/>
    <w:rsid w:val="00EE7C9B"/>
    <w:rsid w:val="00F16E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D5A516"/>
  <w15:chartTrackingRefBased/>
  <w15:docId w15:val="{60F13483-3549-4300-A6E0-3330824C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0C"/>
  </w:style>
  <w:style w:type="paragraph" w:styleId="Heading1">
    <w:name w:val="heading 1"/>
    <w:basedOn w:val="Normal"/>
    <w:next w:val="Normal"/>
    <w:link w:val="Heading1Char"/>
    <w:uiPriority w:val="9"/>
    <w:qFormat/>
    <w:rsid w:val="000F6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0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0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0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60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60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60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60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00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F600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F600C"/>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F600C"/>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F600C"/>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0F600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F600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0F600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F600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0F6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00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F60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00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F600C"/>
    <w:pPr>
      <w:spacing w:before="160"/>
      <w:jc w:val="center"/>
    </w:pPr>
    <w:rPr>
      <w:i/>
      <w:iCs/>
      <w:color w:val="404040" w:themeColor="text1" w:themeTint="BF"/>
    </w:rPr>
  </w:style>
  <w:style w:type="character" w:customStyle="1" w:styleId="QuoteChar">
    <w:name w:val="Quote Char"/>
    <w:basedOn w:val="DefaultParagraphFont"/>
    <w:link w:val="Quote"/>
    <w:uiPriority w:val="29"/>
    <w:rsid w:val="000F600C"/>
    <w:rPr>
      <w:i/>
      <w:iCs/>
      <w:color w:val="404040" w:themeColor="text1" w:themeTint="BF"/>
      <w:lang w:val="en-GB"/>
    </w:rPr>
  </w:style>
  <w:style w:type="paragraph" w:styleId="ListParagraph">
    <w:name w:val="List Paragraph"/>
    <w:basedOn w:val="Normal"/>
    <w:uiPriority w:val="34"/>
    <w:qFormat/>
    <w:rsid w:val="000F600C"/>
    <w:pPr>
      <w:ind w:left="720"/>
      <w:contextualSpacing/>
    </w:pPr>
  </w:style>
  <w:style w:type="character" w:styleId="IntenseEmphasis">
    <w:name w:val="Intense Emphasis"/>
    <w:basedOn w:val="DefaultParagraphFont"/>
    <w:uiPriority w:val="21"/>
    <w:qFormat/>
    <w:rsid w:val="000F600C"/>
    <w:rPr>
      <w:i/>
      <w:iCs/>
      <w:color w:val="2F5496" w:themeColor="accent1" w:themeShade="BF"/>
    </w:rPr>
  </w:style>
  <w:style w:type="paragraph" w:styleId="IntenseQuote">
    <w:name w:val="Intense Quote"/>
    <w:basedOn w:val="Normal"/>
    <w:next w:val="Normal"/>
    <w:link w:val="IntenseQuoteChar"/>
    <w:uiPriority w:val="30"/>
    <w:qFormat/>
    <w:rsid w:val="000F6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00C"/>
    <w:rPr>
      <w:i/>
      <w:iCs/>
      <w:color w:val="2F5496" w:themeColor="accent1" w:themeShade="BF"/>
      <w:lang w:val="en-GB"/>
    </w:rPr>
  </w:style>
  <w:style w:type="character" w:styleId="IntenseReference">
    <w:name w:val="Intense Reference"/>
    <w:basedOn w:val="DefaultParagraphFont"/>
    <w:uiPriority w:val="32"/>
    <w:qFormat/>
    <w:rsid w:val="000F600C"/>
    <w:rPr>
      <w:b/>
      <w:bCs/>
      <w:smallCaps/>
      <w:color w:val="2F5496" w:themeColor="accent1" w:themeShade="BF"/>
      <w:spacing w:val="5"/>
    </w:rPr>
  </w:style>
  <w:style w:type="character" w:styleId="Hyperlink">
    <w:name w:val="Hyperlink"/>
    <w:basedOn w:val="DefaultParagraphFont"/>
    <w:uiPriority w:val="99"/>
    <w:unhideWhenUsed/>
    <w:rsid w:val="000F600C"/>
    <w:rPr>
      <w:color w:val="0563C1" w:themeColor="hyperlink"/>
      <w:u w:val="single"/>
    </w:rPr>
  </w:style>
  <w:style w:type="paragraph" w:styleId="NormalWeb">
    <w:name w:val="Normal (Web)"/>
    <w:basedOn w:val="Normal"/>
    <w:uiPriority w:val="99"/>
    <w:unhideWhenUsed/>
    <w:rsid w:val="000F600C"/>
    <w:pPr>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0F600C"/>
    <w:rPr>
      <w:b/>
      <w:bCs/>
    </w:rPr>
  </w:style>
  <w:style w:type="table" w:styleId="TableGrid">
    <w:name w:val="Table Grid"/>
    <w:basedOn w:val="TableNormal"/>
    <w:uiPriority w:val="39"/>
    <w:rsid w:val="000F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E9F"/>
    <w:rPr>
      <w:color w:val="605E5C"/>
      <w:shd w:val="clear" w:color="auto" w:fill="E1DFDD"/>
    </w:rPr>
  </w:style>
  <w:style w:type="character" w:styleId="FollowedHyperlink">
    <w:name w:val="FollowedHyperlink"/>
    <w:basedOn w:val="DefaultParagraphFont"/>
    <w:uiPriority w:val="99"/>
    <w:semiHidden/>
    <w:unhideWhenUsed/>
    <w:rsid w:val="00CA3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th.mabera@wits.ac.za" TargetMode="External"/><Relationship Id="rId3" Type="http://schemas.openxmlformats.org/officeDocument/2006/relationships/settings" Target="settings.xml"/><Relationship Id="rId7" Type="http://schemas.openxmlformats.org/officeDocument/2006/relationships/hyperlink" Target="https://docs.google.com/forms/d/e/1FAIpQLSd6PoIe5O50ImII0_izUixm_t2EjpVYN_wMQigWsZP_-CAEbw/viewform?usp=publish-edi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bQuOaGOnK6SjzJKuysaoREE2YRf7mSSWqJIGbqpe_D0/edit?usp=sharin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Mabera</dc:creator>
  <cp:keywords/>
  <dc:description/>
  <cp:lastModifiedBy>Faith Mabera</cp:lastModifiedBy>
  <cp:revision>2</cp:revision>
  <cp:lastPrinted>2025-12-02T14:36:00Z</cp:lastPrinted>
  <dcterms:created xsi:type="dcterms:W3CDTF">2025-12-02T14:36:00Z</dcterms:created>
  <dcterms:modified xsi:type="dcterms:W3CDTF">2025-12-02T14:36:00Z</dcterms:modified>
</cp:coreProperties>
</file>